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5B" w:rsidRDefault="00C2434E" w:rsidP="00E3205B">
      <w:pPr>
        <w:spacing w:after="0" w:line="240" w:lineRule="auto"/>
        <w:rPr>
          <w:rFonts w:ascii="Times New Roman" w:hAnsi="Times New Roman" w:cs="Times New Roman"/>
        </w:rPr>
      </w:pPr>
      <w:bookmarkStart w:id="0" w:name="_GoBack"/>
      <w:bookmarkEnd w:id="0"/>
      <w:r w:rsidRPr="0052631D">
        <w:rPr>
          <w:rFonts w:ascii="Times New Roman" w:hAnsi="Times New Roman" w:cs="Times New Roman"/>
        </w:rPr>
        <w:t>Perikelen rond de vaststelling en publicatie van de jaarrekening en aansprakelijkheid in het kader daarvan. Een reactie</w:t>
      </w:r>
    </w:p>
    <w:p w:rsidR="00C2434E" w:rsidRDefault="00C2434E" w:rsidP="00E3205B">
      <w:pPr>
        <w:spacing w:after="0" w:line="240" w:lineRule="auto"/>
        <w:rPr>
          <w:rFonts w:ascii="Times New Roman" w:hAnsi="Times New Roman" w:cs="Times New Roman"/>
        </w:rPr>
      </w:pPr>
    </w:p>
    <w:p w:rsidR="00C2434E" w:rsidRPr="00C2434E" w:rsidRDefault="00C2434E" w:rsidP="00E3205B">
      <w:pPr>
        <w:spacing w:after="0" w:line="240" w:lineRule="auto"/>
        <w:rPr>
          <w:rFonts w:ascii="Times New Roman" w:hAnsi="Times New Roman" w:cs="Times New Roman"/>
          <w:lang w:val="en-US"/>
        </w:rPr>
      </w:pPr>
      <w:r w:rsidRPr="00C2434E">
        <w:rPr>
          <w:rFonts w:ascii="Times New Roman" w:hAnsi="Times New Roman" w:cs="Times New Roman"/>
          <w:lang w:val="en-US"/>
        </w:rPr>
        <w:t>C.A. Schwarz, R.A. Wolf.</w:t>
      </w:r>
    </w:p>
    <w:p w:rsidR="00C2434E" w:rsidRPr="00C2434E" w:rsidRDefault="00C2434E" w:rsidP="00E3205B">
      <w:pPr>
        <w:spacing w:after="0" w:line="240" w:lineRule="auto"/>
        <w:rPr>
          <w:rFonts w:ascii="Times New Roman" w:hAnsi="Times New Roman" w:cs="Times New Roman"/>
          <w:lang w:val="en-US"/>
        </w:rPr>
      </w:pPr>
    </w:p>
    <w:p w:rsidR="00C2434E" w:rsidRPr="00C2434E" w:rsidRDefault="00C2434E" w:rsidP="00E3205B">
      <w:pPr>
        <w:spacing w:after="0" w:line="240" w:lineRule="auto"/>
        <w:rPr>
          <w:rFonts w:ascii="Times New Roman" w:hAnsi="Times New Roman" w:cs="Times New Roman"/>
          <w:lang w:val="en-US"/>
        </w:rPr>
      </w:pPr>
    </w:p>
    <w:p w:rsidR="00E3205B" w:rsidRPr="0052631D" w:rsidRDefault="00E3205B" w:rsidP="00E3205B">
      <w:pPr>
        <w:spacing w:after="0" w:line="240" w:lineRule="auto"/>
        <w:rPr>
          <w:rFonts w:ascii="Times New Roman" w:hAnsi="Times New Roman" w:cs="Times New Roman"/>
          <w:b/>
        </w:rPr>
      </w:pPr>
      <w:r w:rsidRPr="0052631D">
        <w:rPr>
          <w:rFonts w:ascii="Times New Roman" w:hAnsi="Times New Roman" w:cs="Times New Roman"/>
          <w:b/>
        </w:rPr>
        <w:t>1</w:t>
      </w:r>
      <w:r w:rsidRPr="0052631D">
        <w:rPr>
          <w:rFonts w:ascii="Times New Roman" w:hAnsi="Times New Roman" w:cs="Times New Roman"/>
          <w:b/>
        </w:rPr>
        <w:tab/>
        <w:t>Inleiding</w:t>
      </w: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Van Hooff geeft in het </w:t>
      </w:r>
      <w:r w:rsidRPr="00920D28">
        <w:rPr>
          <w:rFonts w:ascii="Times New Roman" w:hAnsi="Times New Roman" w:cs="Times New Roman"/>
          <w:i/>
        </w:rPr>
        <w:t>Maandblad voor Ondernemingsrecht</w:t>
      </w:r>
      <w:r>
        <w:rPr>
          <w:rStyle w:val="Voetnootmarkering"/>
          <w:rFonts w:ascii="Times New Roman" w:hAnsi="Times New Roman" w:cs="Times New Roman"/>
        </w:rPr>
        <w:footnoteReference w:id="1"/>
      </w:r>
      <w:r w:rsidRPr="0052631D">
        <w:rPr>
          <w:rFonts w:ascii="Times New Roman" w:hAnsi="Times New Roman" w:cs="Times New Roman"/>
        </w:rPr>
        <w:t xml:space="preserve"> enkele interessante bespiegelingen over de publicatieplicht en bestuurdersaansprakelijkheid. Graag geven wij een reactie op de stelling van Van Hooff dat schending van de publicatieplicht van </w:t>
      </w:r>
      <w:r>
        <w:rPr>
          <w:rFonts w:ascii="Times New Roman" w:hAnsi="Times New Roman" w:cs="Times New Roman"/>
        </w:rPr>
        <w:t>artikel</w:t>
      </w:r>
      <w:r w:rsidRPr="0052631D">
        <w:rPr>
          <w:rFonts w:ascii="Times New Roman" w:hAnsi="Times New Roman" w:cs="Times New Roman"/>
        </w:rPr>
        <w:t xml:space="preserve"> 2:210 lid 5 jo. </w:t>
      </w:r>
      <w:r>
        <w:rPr>
          <w:rFonts w:ascii="Times New Roman" w:hAnsi="Times New Roman" w:cs="Times New Roman"/>
        </w:rPr>
        <w:t xml:space="preserve">artikel </w:t>
      </w:r>
      <w:r w:rsidRPr="0052631D">
        <w:rPr>
          <w:rFonts w:ascii="Times New Roman" w:hAnsi="Times New Roman" w:cs="Times New Roman"/>
        </w:rPr>
        <w:t xml:space="preserve">2:394 lid 1 </w:t>
      </w:r>
      <w:r>
        <w:rPr>
          <w:rFonts w:ascii="Times New Roman" w:hAnsi="Times New Roman" w:cs="Times New Roman"/>
        </w:rPr>
        <w:t>van het Burgerlijk Wetboek (</w:t>
      </w:r>
      <w:r w:rsidRPr="0052631D">
        <w:rPr>
          <w:rFonts w:ascii="Times New Roman" w:hAnsi="Times New Roman" w:cs="Times New Roman"/>
        </w:rPr>
        <w:t>BW</w:t>
      </w:r>
      <w:r>
        <w:rPr>
          <w:rFonts w:ascii="Times New Roman" w:hAnsi="Times New Roman" w:cs="Times New Roman"/>
        </w:rPr>
        <w:t>)</w:t>
      </w:r>
      <w:r w:rsidRPr="0052631D">
        <w:rPr>
          <w:rFonts w:ascii="Times New Roman" w:hAnsi="Times New Roman" w:cs="Times New Roman"/>
        </w:rPr>
        <w:t xml:space="preserve"> niet leidt tot bestuurdersaansprakelijkheid in de zin van </w:t>
      </w:r>
      <w:r>
        <w:rPr>
          <w:rFonts w:ascii="Times New Roman" w:hAnsi="Times New Roman" w:cs="Times New Roman"/>
        </w:rPr>
        <w:t>artikel</w:t>
      </w:r>
      <w:r w:rsidRPr="0052631D">
        <w:rPr>
          <w:rFonts w:ascii="Times New Roman" w:hAnsi="Times New Roman" w:cs="Times New Roman"/>
        </w:rPr>
        <w:t xml:space="preserve"> 2:248 lid 1 of 2 BW.</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Pr>
          <w:rFonts w:ascii="Times New Roman" w:hAnsi="Times New Roman" w:cs="Times New Roman"/>
        </w:rPr>
        <w:t>Artikel</w:t>
      </w:r>
      <w:r w:rsidRPr="0052631D">
        <w:rPr>
          <w:rFonts w:ascii="Times New Roman" w:hAnsi="Times New Roman" w:cs="Times New Roman"/>
        </w:rPr>
        <w:t xml:space="preserve"> 2:210 lid 5 BW is een ongelukkige bepaling, die vele pennen in beweging heeft gebracht.</w:t>
      </w:r>
      <w:r w:rsidRPr="0052631D">
        <w:rPr>
          <w:rStyle w:val="Voetnootmarkering"/>
          <w:rFonts w:ascii="Times New Roman" w:hAnsi="Times New Roman" w:cs="Times New Roman"/>
        </w:rPr>
        <w:footnoteReference w:id="2"/>
      </w:r>
      <w:r w:rsidRPr="0052631D">
        <w:rPr>
          <w:rFonts w:ascii="Times New Roman" w:hAnsi="Times New Roman" w:cs="Times New Roman"/>
        </w:rPr>
        <w:t xml:space="preserve"> De wetgever heeft twee keer een kans gemist om de onduidelijkheid of de mogelijk ongewenste gevolgen van deze bepaling weg te nemen. De eerste kans was de Verzamelwet Veiligheid en Justitie 2013.</w:t>
      </w:r>
      <w:r w:rsidRPr="0052631D">
        <w:rPr>
          <w:rStyle w:val="Voetnootmarkering"/>
          <w:rFonts w:ascii="Times New Roman" w:hAnsi="Times New Roman" w:cs="Times New Roman"/>
        </w:rPr>
        <w:footnoteReference w:id="3"/>
      </w:r>
      <w:r w:rsidRPr="0052631D">
        <w:rPr>
          <w:rFonts w:ascii="Times New Roman" w:hAnsi="Times New Roman" w:cs="Times New Roman"/>
        </w:rPr>
        <w:t xml:space="preserve"> De tweede kans was de Uitvoeringswet richtlijn jaarrekening.</w:t>
      </w:r>
      <w:r w:rsidRPr="0052631D">
        <w:rPr>
          <w:rStyle w:val="Voetnootmarkering"/>
          <w:rFonts w:ascii="Times New Roman" w:hAnsi="Times New Roman" w:cs="Times New Roman"/>
        </w:rPr>
        <w:footnoteReference w:id="4"/>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b/>
        </w:rPr>
      </w:pPr>
      <w:r w:rsidRPr="0052631D">
        <w:rPr>
          <w:rFonts w:ascii="Times New Roman" w:hAnsi="Times New Roman" w:cs="Times New Roman"/>
          <w:b/>
        </w:rPr>
        <w:t>2</w:t>
      </w:r>
      <w:r w:rsidRPr="0052631D">
        <w:rPr>
          <w:rFonts w:ascii="Times New Roman" w:hAnsi="Times New Roman" w:cs="Times New Roman"/>
          <w:b/>
        </w:rPr>
        <w:tab/>
        <w:t>De publicatietermijn van de jaarrekening</w:t>
      </w: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De jaarrekening doorloopt op hoofdlijnen de volgende stappen: het opmaken door het bestuur,</w:t>
      </w:r>
      <w:r w:rsidRPr="0052631D">
        <w:rPr>
          <w:rStyle w:val="Voetnootmarkering"/>
          <w:rFonts w:ascii="Times New Roman" w:hAnsi="Times New Roman" w:cs="Times New Roman"/>
        </w:rPr>
        <w:footnoteReference w:id="5"/>
      </w:r>
      <w:r w:rsidRPr="0052631D">
        <w:rPr>
          <w:rFonts w:ascii="Times New Roman" w:hAnsi="Times New Roman" w:cs="Times New Roman"/>
        </w:rPr>
        <w:t xml:space="preserve"> het vaststellen door de algemene vergadering</w:t>
      </w:r>
      <w:r w:rsidRPr="0052631D">
        <w:rPr>
          <w:rStyle w:val="Voetnootmarkering"/>
          <w:rFonts w:ascii="Times New Roman" w:hAnsi="Times New Roman" w:cs="Times New Roman"/>
        </w:rPr>
        <w:footnoteReference w:id="6"/>
      </w:r>
      <w:r w:rsidRPr="0052631D">
        <w:rPr>
          <w:rFonts w:ascii="Times New Roman" w:hAnsi="Times New Roman" w:cs="Times New Roman"/>
        </w:rPr>
        <w:t xml:space="preserve"> en tot slot de publicatie door de rechtspersoon.</w:t>
      </w:r>
      <w:r w:rsidRPr="0052631D">
        <w:rPr>
          <w:rStyle w:val="Voetnootmarkering"/>
          <w:rFonts w:ascii="Times New Roman" w:hAnsi="Times New Roman" w:cs="Times New Roman"/>
        </w:rPr>
        <w:footnoteReference w:id="7"/>
      </w:r>
      <w:r w:rsidRPr="0052631D">
        <w:rPr>
          <w:rFonts w:ascii="Times New Roman" w:hAnsi="Times New Roman" w:cs="Times New Roman"/>
        </w:rPr>
        <w:t xml:space="preserve"> Bij de laatste stap van de publicatie van de jaarrekening kunnen twee situaties worden onderscheiden.</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Pr>
          <w:rFonts w:ascii="Times New Roman" w:hAnsi="Times New Roman" w:cs="Times New Roman"/>
        </w:rPr>
        <w:t>In d</w:t>
      </w:r>
      <w:r w:rsidRPr="0052631D">
        <w:rPr>
          <w:rFonts w:ascii="Times New Roman" w:hAnsi="Times New Roman" w:cs="Times New Roman"/>
        </w:rPr>
        <w:t xml:space="preserve">e eerste situatie is sprake van een vastgestelde jaarrekening. In dat geval bepaalt de wet dat de jaarrekening binnen acht dagen na vaststelling moet worden gepubliceerd (art. 2:394 lid 1 BW). De conclusie kan niet anders zijn dan dat ook in het geval van een vereenvoudigde vaststelling op grond van het bepaalde in </w:t>
      </w:r>
      <w:r>
        <w:rPr>
          <w:rFonts w:ascii="Times New Roman" w:hAnsi="Times New Roman" w:cs="Times New Roman"/>
        </w:rPr>
        <w:t>artikel</w:t>
      </w:r>
      <w:r w:rsidRPr="0052631D">
        <w:rPr>
          <w:rFonts w:ascii="Times New Roman" w:hAnsi="Times New Roman" w:cs="Times New Roman"/>
        </w:rPr>
        <w:t xml:space="preserve"> 2:210 lid 5 BW die publicatietermijn geldt. Van Hooff is het overigens met deze conclusie eens.</w:t>
      </w:r>
      <w:r w:rsidRPr="0052631D">
        <w:rPr>
          <w:rStyle w:val="Voetnootmarkering"/>
          <w:rFonts w:ascii="Times New Roman" w:hAnsi="Times New Roman" w:cs="Times New Roman"/>
        </w:rPr>
        <w:footnoteReference w:id="8"/>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Pr>
          <w:rFonts w:ascii="Times New Roman" w:hAnsi="Times New Roman" w:cs="Times New Roman"/>
        </w:rPr>
        <w:t>In d</w:t>
      </w:r>
      <w:r w:rsidRPr="0052631D">
        <w:rPr>
          <w:rFonts w:ascii="Times New Roman" w:hAnsi="Times New Roman" w:cs="Times New Roman"/>
        </w:rPr>
        <w:t xml:space="preserve">e tweede situatie is de jaarrekening wel opgemaakt, maar nog niet vastgesteld. </w:t>
      </w:r>
      <w:r>
        <w:rPr>
          <w:rFonts w:ascii="Times New Roman" w:hAnsi="Times New Roman" w:cs="Times New Roman"/>
        </w:rPr>
        <w:t>Artikel</w:t>
      </w:r>
      <w:r w:rsidRPr="0052631D">
        <w:rPr>
          <w:rFonts w:ascii="Times New Roman" w:hAnsi="Times New Roman" w:cs="Times New Roman"/>
        </w:rPr>
        <w:t xml:space="preserve"> 2:394 lid 2 BW bepaalt dat de opgestelde jaarrekening onverwijld moet worden gepubliceerd wanneer deze niet is vastgesteld binnen twee maanden na het verstrijken van de voor het opmaken voorgeschreven termijn. Deze (laatste) termijn bedraagt vijf maanden na de balansdatum (art</w:t>
      </w:r>
      <w:r w:rsidR="00DF63BB">
        <w:rPr>
          <w:rFonts w:ascii="Times New Roman" w:hAnsi="Times New Roman" w:cs="Times New Roman"/>
        </w:rPr>
        <w:t>ikel</w:t>
      </w:r>
      <w:r w:rsidRPr="0052631D">
        <w:rPr>
          <w:rFonts w:ascii="Times New Roman" w:hAnsi="Times New Roman" w:cs="Times New Roman"/>
        </w:rPr>
        <w:t xml:space="preserve"> 2:210 lid 1 BW). Deze termijn kan worden verlengd met ten hoogste zes maanden bij besluit van de algemene vergadering op grond van bijzondere omstandigheden. Dat de Hoge Raad in het arrest Brens q.q./Sarper</w:t>
      </w:r>
      <w:r w:rsidRPr="0052631D">
        <w:rPr>
          <w:rStyle w:val="Voetnootmarkering"/>
          <w:rFonts w:ascii="Times New Roman" w:hAnsi="Times New Roman" w:cs="Times New Roman"/>
        </w:rPr>
        <w:footnoteReference w:id="9"/>
      </w:r>
      <w:r w:rsidRPr="0052631D">
        <w:rPr>
          <w:rFonts w:ascii="Times New Roman" w:hAnsi="Times New Roman" w:cs="Times New Roman"/>
        </w:rPr>
        <w:t xml:space="preserve"> niet zwaar tilt aan de vereisten voor het verlengen van de termijn bij besluit van de algemene vergadering moge zo zijn, een en ander neemt niet weg dat het opstellen van de jaarrekening uiterlijk binnen elf maanden na balansdatum moet zijn afgerond. </w:t>
      </w:r>
      <w:r>
        <w:rPr>
          <w:rFonts w:ascii="Times New Roman" w:hAnsi="Times New Roman" w:cs="Times New Roman"/>
        </w:rPr>
        <w:t>Artikel</w:t>
      </w:r>
      <w:r w:rsidRPr="0052631D">
        <w:rPr>
          <w:rFonts w:ascii="Times New Roman" w:hAnsi="Times New Roman" w:cs="Times New Roman"/>
        </w:rPr>
        <w:t xml:space="preserve"> 2:394 lid 3 BW bepaalt dat de jaarrekening, wat ook de geldende termijn voor opstelling moge zijn, in ieder geval uiterlijk binnen dertien maanden na het einde van het boekjaar gepubliceerd moet worden. Wordt de jaarrekening binnen twee maanden na het verstrijken van de opmaaktermijn, zoals bedoeld in </w:t>
      </w:r>
      <w:r>
        <w:rPr>
          <w:rFonts w:ascii="Times New Roman" w:hAnsi="Times New Roman" w:cs="Times New Roman"/>
        </w:rPr>
        <w:t>artikel</w:t>
      </w:r>
      <w:r w:rsidRPr="0052631D">
        <w:rPr>
          <w:rFonts w:ascii="Times New Roman" w:hAnsi="Times New Roman" w:cs="Times New Roman"/>
        </w:rPr>
        <w:t xml:space="preserve"> 2:210 lid 1 BW, toch vastgesteld, dan geldt dat de jaarrekening binnen acht dagen na de vaststelling gepubliceerd moet worden met als uiterste </w:t>
      </w:r>
      <w:r w:rsidRPr="0052631D">
        <w:rPr>
          <w:rFonts w:ascii="Times New Roman" w:hAnsi="Times New Roman" w:cs="Times New Roman"/>
        </w:rPr>
        <w:lastRenderedPageBreak/>
        <w:t>termijn de dertienmaandentermijn.</w:t>
      </w:r>
      <w:r w:rsidRPr="0052631D">
        <w:rPr>
          <w:rStyle w:val="Voetnootmarkering"/>
          <w:rFonts w:ascii="Times New Roman" w:hAnsi="Times New Roman" w:cs="Times New Roman"/>
        </w:rPr>
        <w:footnoteReference w:id="10"/>
      </w:r>
      <w:r w:rsidRPr="0052631D">
        <w:rPr>
          <w:rFonts w:ascii="Times New Roman" w:hAnsi="Times New Roman" w:cs="Times New Roman"/>
        </w:rPr>
        <w:t xml:space="preserve"> De Uitvoeringswet richtlijn jaarrekening verkort (</w:t>
      </w:r>
      <w:r w:rsidR="00DF63BB">
        <w:rPr>
          <w:rFonts w:ascii="Times New Roman" w:hAnsi="Times New Roman" w:cs="Times New Roman"/>
        </w:rPr>
        <w:t>1</w:t>
      </w:r>
      <w:r w:rsidRPr="0052631D">
        <w:rPr>
          <w:rFonts w:ascii="Times New Roman" w:hAnsi="Times New Roman" w:cs="Times New Roman"/>
        </w:rPr>
        <w:t>) de dertienmaandentermijn van art</w:t>
      </w:r>
      <w:r w:rsidR="00920D28">
        <w:rPr>
          <w:rFonts w:ascii="Times New Roman" w:hAnsi="Times New Roman" w:cs="Times New Roman"/>
        </w:rPr>
        <w:t>ikel</w:t>
      </w:r>
      <w:r w:rsidRPr="0052631D">
        <w:rPr>
          <w:rFonts w:ascii="Times New Roman" w:hAnsi="Times New Roman" w:cs="Times New Roman"/>
        </w:rPr>
        <w:t>. 2:394 lid 3 BW tot twaalf maanden en (</w:t>
      </w:r>
      <w:r w:rsidR="00DF63BB">
        <w:rPr>
          <w:rFonts w:ascii="Times New Roman" w:hAnsi="Times New Roman" w:cs="Times New Roman"/>
        </w:rPr>
        <w:t>2</w:t>
      </w:r>
      <w:r w:rsidRPr="0052631D">
        <w:rPr>
          <w:rFonts w:ascii="Times New Roman" w:hAnsi="Times New Roman" w:cs="Times New Roman"/>
        </w:rPr>
        <w:t xml:space="preserve">) de verlengingstermijn van zes maanden van </w:t>
      </w:r>
      <w:r>
        <w:rPr>
          <w:rFonts w:ascii="Times New Roman" w:hAnsi="Times New Roman" w:cs="Times New Roman"/>
        </w:rPr>
        <w:t>artikel</w:t>
      </w:r>
      <w:r w:rsidRPr="0052631D">
        <w:rPr>
          <w:rFonts w:ascii="Times New Roman" w:hAnsi="Times New Roman" w:cs="Times New Roman"/>
        </w:rPr>
        <w:t xml:space="preserve"> 2:210 lid 1 BW tot vijf maanden voor boekjaren vanaf 2016. In het onderstaande zal van de thans nog geldende termijnen voor het boekjaar 2015 worden uitgegaan.</w:t>
      </w:r>
    </w:p>
    <w:p w:rsidR="00E3205B" w:rsidRPr="0052631D" w:rsidRDefault="00E3205B" w:rsidP="00E3205B">
      <w:pPr>
        <w:spacing w:after="0" w:line="240" w:lineRule="auto"/>
        <w:rPr>
          <w:rFonts w:ascii="Times New Roman" w:hAnsi="Times New Roman" w:cs="Times New Roman"/>
        </w:rPr>
      </w:pPr>
    </w:p>
    <w:p w:rsidR="00E3205B"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Van Hooff concludeert dat in beide situaties alleen de termijn van dertien maanden relevant is voor het antwoord op de vraag wat te laat publiceren is. Hij schrijft: </w:t>
      </w:r>
      <w:r>
        <w:rPr>
          <w:rFonts w:ascii="Times New Roman" w:hAnsi="Times New Roman" w:cs="Times New Roman"/>
        </w:rPr>
        <w:t>‘</w:t>
      </w:r>
      <w:r w:rsidRPr="00920D28">
        <w:rPr>
          <w:rFonts w:ascii="Times New Roman" w:hAnsi="Times New Roman" w:cs="Times New Roman"/>
        </w:rPr>
        <w:t>Voor de toepassing van artikel 2:248 lid 2 BW is de achtdagentermijn echter niet relevant.</w:t>
      </w:r>
      <w:r>
        <w:rPr>
          <w:rFonts w:ascii="Times New Roman" w:hAnsi="Times New Roman" w:cs="Times New Roman"/>
        </w:rPr>
        <w:t>’</w:t>
      </w:r>
      <w:r w:rsidRPr="0052631D">
        <w:rPr>
          <w:rStyle w:val="Voetnootmarkering"/>
          <w:rFonts w:ascii="Times New Roman" w:hAnsi="Times New Roman" w:cs="Times New Roman"/>
        </w:rPr>
        <w:footnoteReference w:id="11"/>
      </w:r>
      <w:r w:rsidRPr="0052631D">
        <w:rPr>
          <w:rFonts w:ascii="Times New Roman" w:hAnsi="Times New Roman" w:cs="Times New Roman"/>
        </w:rPr>
        <w:t xml:space="preserve"> Als dat zo is, dan is </w:t>
      </w:r>
      <w:r>
        <w:rPr>
          <w:rFonts w:ascii="Times New Roman" w:hAnsi="Times New Roman" w:cs="Times New Roman"/>
        </w:rPr>
        <w:t>artikel</w:t>
      </w:r>
      <w:r w:rsidRPr="0052631D">
        <w:rPr>
          <w:rFonts w:ascii="Times New Roman" w:hAnsi="Times New Roman" w:cs="Times New Roman"/>
        </w:rPr>
        <w:t xml:space="preserve"> 2:394 lid 1 BW een dode letter. Anders gezegd, het onderscheid tussen een vastgestelde en niet-vastgestelde jaarrekening is kennelijk – volgens Van Hooff – voor wat betreft de termijn waarbinnen deze jaarrekeningen gepubliceerd moeten worden, niet (meer) relevant. Sluitende argumentatie voor dit standpunt treffen wij echter niet aan, laat staan dat aan een cliënt enige zekerheid kan worden gegeven met betrekking tot de vraag of deze visie in rechte overeind zal blijven. Wij geven Van Hooff direct toe dat de regeling van </w:t>
      </w:r>
      <w:r>
        <w:rPr>
          <w:rFonts w:ascii="Times New Roman" w:hAnsi="Times New Roman" w:cs="Times New Roman"/>
        </w:rPr>
        <w:t>artikel</w:t>
      </w:r>
      <w:r w:rsidRPr="0052631D">
        <w:rPr>
          <w:rFonts w:ascii="Times New Roman" w:hAnsi="Times New Roman" w:cs="Times New Roman"/>
        </w:rPr>
        <w:t xml:space="preserve"> 2:210 lid 5 BW ondoordacht is. Een betrokken jurist zal in een voorkomend geval waarschijnlijk geneigd zijn de ongerijmdheid van de regeling weg te redeneren door het ontwikkelen van de door Van Hooff voorgestane opvatting. Wij menen echter dat het essentieel is dat zekerheid moet kunnen worden verstrekt over het feit dat die opvatting ook in een aansprakelijkheidsprocedure overeind zal blijven. Die zekerheid is er niet. Sterker nog, de minister acht het verschil tussen een vastgestelde en niet-vastgestelde jaarrekening, en de publicatietermijnen die in dat kader gelden, wel degelijk relevant. In de memorie van toelichting bij de Uitvoeringswet richtlijn jaarrekening is het volgende te lezen:</w:t>
      </w:r>
      <w:r w:rsidRPr="0052631D">
        <w:rPr>
          <w:rStyle w:val="Voetnootmarkering"/>
          <w:rFonts w:ascii="Times New Roman" w:hAnsi="Times New Roman" w:cs="Times New Roman"/>
        </w:rPr>
        <w:footnoteReference w:id="12"/>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ind w:left="709"/>
        <w:rPr>
          <w:rFonts w:ascii="Times New Roman" w:hAnsi="Times New Roman" w:cs="Times New Roman"/>
        </w:rPr>
      </w:pPr>
      <w:r>
        <w:rPr>
          <w:rFonts w:ascii="Times New Roman" w:hAnsi="Times New Roman" w:cs="Times New Roman"/>
        </w:rPr>
        <w:t>‘</w:t>
      </w:r>
      <w:r w:rsidRPr="0052631D">
        <w:rPr>
          <w:rFonts w:ascii="Times New Roman" w:hAnsi="Times New Roman" w:cs="Times New Roman"/>
        </w:rPr>
        <w:t>In Nederland geldt thans op basis van het derde lid van artikel 394 een uiterste publicatietermijn van dertien maanden na afloop van het boekjaar. (</w:t>
      </w:r>
      <w:r>
        <w:rPr>
          <w:rFonts w:ascii="Times New Roman" w:hAnsi="Times New Roman" w:cs="Times New Roman"/>
        </w:rPr>
        <w:t>...</w:t>
      </w:r>
      <w:r w:rsidRPr="0052631D">
        <w:rPr>
          <w:rFonts w:ascii="Times New Roman" w:hAnsi="Times New Roman" w:cs="Times New Roman"/>
        </w:rPr>
        <w:t>) De nieuwe voorgeschreven publicatietermijn heeft tot gevolg dat de uiterste publicatietermijn in het derde lid van artikel 394 van dertien maanden wordt verkort tot twaalf maanden. Het tweede lid van artikel 394 schrijft voor dat de opgemaakte jaarrekening openbaar moet worden gemaakt indien de jaarrekening niet binnen twee maanden na de termijn voor het opmaken van de jaarrekening is vastgesteld. De termijn voor het opmaken van de jaarrekening is voor NV</w:t>
      </w:r>
      <w:r>
        <w:rPr>
          <w:rFonts w:ascii="Times New Roman" w:hAnsi="Times New Roman" w:cs="Times New Roman"/>
        </w:rPr>
        <w:t>’</w:t>
      </w:r>
      <w:r w:rsidRPr="0052631D">
        <w:rPr>
          <w:rFonts w:ascii="Times New Roman" w:hAnsi="Times New Roman" w:cs="Times New Roman"/>
        </w:rPr>
        <w:t>s en BV</w:t>
      </w:r>
      <w:r>
        <w:rPr>
          <w:rFonts w:ascii="Times New Roman" w:hAnsi="Times New Roman" w:cs="Times New Roman"/>
        </w:rPr>
        <w:t>’</w:t>
      </w:r>
      <w:r w:rsidRPr="0052631D">
        <w:rPr>
          <w:rFonts w:ascii="Times New Roman" w:hAnsi="Times New Roman" w:cs="Times New Roman"/>
        </w:rPr>
        <w:t>s vijf maanden na afloop van het boekjaar. Deze termijn kan door de algemene vergadering wegens bijzondere omstandigheden worden verlengd met zes maanden (artikel 2:101 en 210 BW). Hiermee komt de uiterste termijn voor het opmaken van de jaarrekening op elf maanden. (</w:t>
      </w:r>
      <w:r>
        <w:rPr>
          <w:rFonts w:ascii="Times New Roman" w:hAnsi="Times New Roman" w:cs="Times New Roman"/>
        </w:rPr>
        <w:t>...</w:t>
      </w:r>
      <w:r w:rsidRPr="0052631D">
        <w:rPr>
          <w:rFonts w:ascii="Times New Roman" w:hAnsi="Times New Roman" w:cs="Times New Roman"/>
        </w:rPr>
        <w:t>) Op basis van het huidige recht kan men daarmee uitkomen op een uiterste publicatietermijn van de (opgemaakte) jaarrekening van dertien maanden: vijf of zes maanden voor het opmaken van de jaarrekening plus zes of vijf maanden uitstel van het opmaken, plus twee maanden om de jaarrekening vast te stellen, maakt in totaal dertien maanden. Omdat de uiterste publicatietermijn niet meer dan twaalf maanden mag bedragen, wordt voorgesteld de verlengingstermijn van zes maanden voor NV</w:t>
      </w:r>
      <w:r>
        <w:rPr>
          <w:rFonts w:ascii="Times New Roman" w:hAnsi="Times New Roman" w:cs="Times New Roman"/>
        </w:rPr>
        <w:t>’</w:t>
      </w:r>
      <w:r w:rsidRPr="0052631D">
        <w:rPr>
          <w:rFonts w:ascii="Times New Roman" w:hAnsi="Times New Roman" w:cs="Times New Roman"/>
        </w:rPr>
        <w:t>s en BV</w:t>
      </w:r>
      <w:r>
        <w:rPr>
          <w:rFonts w:ascii="Times New Roman" w:hAnsi="Times New Roman" w:cs="Times New Roman"/>
        </w:rPr>
        <w:t>’</w:t>
      </w:r>
      <w:r w:rsidRPr="0052631D">
        <w:rPr>
          <w:rFonts w:ascii="Times New Roman" w:hAnsi="Times New Roman" w:cs="Times New Roman"/>
        </w:rPr>
        <w:t>s (</w:t>
      </w:r>
      <w:r>
        <w:rPr>
          <w:rFonts w:ascii="Times New Roman" w:hAnsi="Times New Roman" w:cs="Times New Roman"/>
        </w:rPr>
        <w:t>...</w:t>
      </w:r>
      <w:r w:rsidRPr="0052631D">
        <w:rPr>
          <w:rFonts w:ascii="Times New Roman" w:hAnsi="Times New Roman" w:cs="Times New Roman"/>
        </w:rPr>
        <w:t>) met een maand te verkorten.</w:t>
      </w:r>
      <w:r>
        <w:rPr>
          <w:rFonts w:ascii="Times New Roman" w:hAnsi="Times New Roman" w:cs="Times New Roman"/>
        </w:rPr>
        <w:t>’</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De publicatietermijn van dertien maanden wordt door de minister dus uitsluitend in het kader van </w:t>
      </w:r>
      <w:r>
        <w:rPr>
          <w:rFonts w:ascii="Times New Roman" w:hAnsi="Times New Roman" w:cs="Times New Roman"/>
        </w:rPr>
        <w:t>artikel</w:t>
      </w:r>
      <w:r w:rsidRPr="0052631D">
        <w:rPr>
          <w:rFonts w:ascii="Times New Roman" w:hAnsi="Times New Roman" w:cs="Times New Roman"/>
        </w:rPr>
        <w:t xml:space="preserve"> 2:394 lid 2 en 3 BW geplaatst. Is de jaarrekening vastgesteld, dan geldt </w:t>
      </w:r>
      <w:r>
        <w:rPr>
          <w:rFonts w:ascii="Times New Roman" w:hAnsi="Times New Roman" w:cs="Times New Roman"/>
        </w:rPr>
        <w:t>artikel</w:t>
      </w:r>
      <w:r w:rsidRPr="0052631D">
        <w:rPr>
          <w:rFonts w:ascii="Times New Roman" w:hAnsi="Times New Roman" w:cs="Times New Roman"/>
        </w:rPr>
        <w:t xml:space="preserve"> 2:394 lid 1 </w:t>
      </w:r>
      <w:r>
        <w:rPr>
          <w:rFonts w:ascii="Times New Roman" w:hAnsi="Times New Roman" w:cs="Times New Roman"/>
        </w:rPr>
        <w:t xml:space="preserve">BW </w:t>
      </w:r>
      <w:r w:rsidRPr="0052631D">
        <w:rPr>
          <w:rFonts w:ascii="Times New Roman" w:hAnsi="Times New Roman" w:cs="Times New Roman"/>
        </w:rPr>
        <w:t>onverkort.</w:t>
      </w:r>
      <w:r w:rsidRPr="0052631D">
        <w:rPr>
          <w:rStyle w:val="Voetnootmarkering"/>
          <w:rFonts w:ascii="Times New Roman" w:hAnsi="Times New Roman" w:cs="Times New Roman"/>
        </w:rPr>
        <w:footnoteReference w:id="13"/>
      </w:r>
      <w:r w:rsidRPr="0052631D">
        <w:rPr>
          <w:rFonts w:ascii="Times New Roman" w:hAnsi="Times New Roman" w:cs="Times New Roman"/>
        </w:rPr>
        <w:t xml:space="preserve"> Dat volgt ook uit de memorie van toelichting bij de Verzamelwet Veiligheid en Justitie 2013:</w:t>
      </w:r>
      <w:r w:rsidRPr="0052631D">
        <w:rPr>
          <w:rStyle w:val="Voetnootmarkering"/>
          <w:rFonts w:ascii="Times New Roman" w:hAnsi="Times New Roman" w:cs="Times New Roman"/>
        </w:rPr>
        <w:footnoteReference w:id="14"/>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ind w:left="709"/>
        <w:rPr>
          <w:rFonts w:ascii="Times New Roman" w:hAnsi="Times New Roman" w:cs="Times New Roman"/>
        </w:rPr>
      </w:pPr>
      <w:r>
        <w:rPr>
          <w:rFonts w:ascii="Times New Roman" w:hAnsi="Times New Roman" w:cs="Times New Roman"/>
        </w:rPr>
        <w:t>‘</w:t>
      </w:r>
      <w:r w:rsidRPr="0052631D">
        <w:rPr>
          <w:rFonts w:ascii="Times New Roman" w:hAnsi="Times New Roman" w:cs="Times New Roman"/>
        </w:rPr>
        <w:t>De datum van vaststelling heeft ook gevolgen voor de deponering bij het handelsregister, die immers binnen acht dagen na vaststelling van de jaarrekening moet plaatsvinden (artikel 394 lid 1).</w:t>
      </w:r>
      <w:r>
        <w:rPr>
          <w:rFonts w:ascii="Times New Roman" w:hAnsi="Times New Roman" w:cs="Times New Roman"/>
        </w:rPr>
        <w:t>’</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Aan deze regel is ook vastgehouden in de Wet </w:t>
      </w:r>
      <w:r>
        <w:rPr>
          <w:rFonts w:ascii="Times New Roman" w:hAnsi="Times New Roman" w:cs="Times New Roman"/>
        </w:rPr>
        <w:t>e</w:t>
      </w:r>
      <w:r w:rsidRPr="0052631D">
        <w:rPr>
          <w:rFonts w:ascii="Times New Roman" w:hAnsi="Times New Roman" w:cs="Times New Roman"/>
        </w:rPr>
        <w:t>lektronisch deponeren van bescheiden in het handelsregister.</w:t>
      </w:r>
      <w:r w:rsidRPr="0052631D">
        <w:rPr>
          <w:rStyle w:val="Voetnootmarkering"/>
          <w:rFonts w:ascii="Times New Roman" w:hAnsi="Times New Roman" w:cs="Times New Roman"/>
        </w:rPr>
        <w:footnoteReference w:id="15"/>
      </w:r>
      <w:r w:rsidRPr="0052631D">
        <w:rPr>
          <w:rFonts w:ascii="Times New Roman" w:hAnsi="Times New Roman" w:cs="Times New Roman"/>
        </w:rPr>
        <w:t xml:space="preserve"> Op grond van deze wetswijziging kan de jaarrekening uitsluitend langs elektronische weg bij het handelsregister worden aangeleverd. Deponering wordt dus (nog) makkelijker. Op het moment van schrijven van deze bijdrage was de datum van inwerkingtreding van deze wetswijziging nog niet bekend.</w:t>
      </w:r>
      <w:r w:rsidRPr="0052631D">
        <w:rPr>
          <w:rStyle w:val="Voetnootmarkering"/>
          <w:rFonts w:ascii="Times New Roman" w:hAnsi="Times New Roman" w:cs="Times New Roman"/>
        </w:rPr>
        <w:footnoteReference w:id="16"/>
      </w:r>
      <w:r w:rsidRPr="0052631D">
        <w:rPr>
          <w:rFonts w:ascii="Times New Roman" w:hAnsi="Times New Roman" w:cs="Times New Roman"/>
        </w:rPr>
        <w:t xml:space="preserve"> Na inwerkingtreding geldt een gewijzigde tekst van </w:t>
      </w:r>
      <w:r>
        <w:rPr>
          <w:rFonts w:ascii="Times New Roman" w:hAnsi="Times New Roman" w:cs="Times New Roman"/>
        </w:rPr>
        <w:t>artikel</w:t>
      </w:r>
      <w:r w:rsidRPr="0052631D">
        <w:rPr>
          <w:rFonts w:ascii="Times New Roman" w:hAnsi="Times New Roman" w:cs="Times New Roman"/>
        </w:rPr>
        <w:t xml:space="preserve"> 2:394 lid 1 BW.</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b/>
        </w:rPr>
      </w:pPr>
      <w:r w:rsidRPr="0052631D">
        <w:rPr>
          <w:rFonts w:ascii="Times New Roman" w:hAnsi="Times New Roman" w:cs="Times New Roman"/>
          <w:b/>
        </w:rPr>
        <w:t>3</w:t>
      </w:r>
      <w:r w:rsidRPr="0052631D">
        <w:rPr>
          <w:rFonts w:ascii="Times New Roman" w:hAnsi="Times New Roman" w:cs="Times New Roman"/>
          <w:b/>
        </w:rPr>
        <w:tab/>
        <w:t xml:space="preserve">Tijdige publicatie en bestuurdersaansprakelijkheid ex </w:t>
      </w:r>
      <w:r>
        <w:rPr>
          <w:rFonts w:ascii="Times New Roman" w:hAnsi="Times New Roman" w:cs="Times New Roman"/>
          <w:b/>
        </w:rPr>
        <w:t>artikel</w:t>
      </w:r>
      <w:r w:rsidRPr="0052631D">
        <w:rPr>
          <w:rFonts w:ascii="Times New Roman" w:hAnsi="Times New Roman" w:cs="Times New Roman"/>
          <w:b/>
        </w:rPr>
        <w:t xml:space="preserve"> 2:248 BW</w:t>
      </w: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Het tijdig publiceren van de jaarrekening na haar vaststelling is van belang bij de vaststelling van de externe bestuurdersaansprakelijkheid van </w:t>
      </w:r>
      <w:r>
        <w:rPr>
          <w:rFonts w:ascii="Times New Roman" w:hAnsi="Times New Roman" w:cs="Times New Roman"/>
        </w:rPr>
        <w:t>artikel</w:t>
      </w:r>
      <w:r w:rsidRPr="0052631D">
        <w:rPr>
          <w:rFonts w:ascii="Times New Roman" w:hAnsi="Times New Roman" w:cs="Times New Roman"/>
        </w:rPr>
        <w:t xml:space="preserve"> 2:248 BW. Het systeem in die bepaling is dat bij faillissement van de vennootschap bestuurders hoofdelijk aansprakelijk zijn als sprake is geweest van onbehoorlijke taakvervulling en als dit een belangrijke oorzaak is geweest van het faillissement (lid 1). Als het bestuur niet heeft voldaan aan zijn verplichting tot tijdige openbaarmaking van de jaarrekening ex </w:t>
      </w:r>
      <w:r>
        <w:rPr>
          <w:rFonts w:ascii="Times New Roman" w:hAnsi="Times New Roman" w:cs="Times New Roman"/>
        </w:rPr>
        <w:t>artikel</w:t>
      </w:r>
      <w:r w:rsidRPr="0052631D">
        <w:rPr>
          <w:rFonts w:ascii="Times New Roman" w:hAnsi="Times New Roman" w:cs="Times New Roman"/>
        </w:rPr>
        <w:t xml:space="preserve"> 2:394 BW, of niet voldaan heeft aan de boekhoudplicht ex </w:t>
      </w:r>
      <w:r>
        <w:rPr>
          <w:rFonts w:ascii="Times New Roman" w:hAnsi="Times New Roman" w:cs="Times New Roman"/>
        </w:rPr>
        <w:t>artikel</w:t>
      </w:r>
      <w:r w:rsidRPr="0052631D">
        <w:rPr>
          <w:rFonts w:ascii="Times New Roman" w:hAnsi="Times New Roman" w:cs="Times New Roman"/>
        </w:rPr>
        <w:t xml:space="preserve"> 2:10 BW, geldt op basis van </w:t>
      </w:r>
      <w:r>
        <w:rPr>
          <w:rFonts w:ascii="Times New Roman" w:hAnsi="Times New Roman" w:cs="Times New Roman"/>
        </w:rPr>
        <w:t>artikel</w:t>
      </w:r>
      <w:r w:rsidRPr="0052631D">
        <w:rPr>
          <w:rFonts w:ascii="Times New Roman" w:hAnsi="Times New Roman" w:cs="Times New Roman"/>
        </w:rPr>
        <w:t xml:space="preserve"> 2:248 lid 2 BW dat het bestuur </w:t>
      </w:r>
      <w:r>
        <w:rPr>
          <w:rFonts w:ascii="Times New Roman" w:hAnsi="Times New Roman" w:cs="Times New Roman"/>
        </w:rPr>
        <w:t>zijn</w:t>
      </w:r>
      <w:r w:rsidRPr="0052631D">
        <w:rPr>
          <w:rFonts w:ascii="Times New Roman" w:hAnsi="Times New Roman" w:cs="Times New Roman"/>
        </w:rPr>
        <w:t xml:space="preserve"> taak onbehoorlijk heeft vervuld. Tevens geldt het weerlegbare vermoeden van </w:t>
      </w:r>
      <w:r>
        <w:rPr>
          <w:rFonts w:ascii="Times New Roman" w:hAnsi="Times New Roman" w:cs="Times New Roman"/>
        </w:rPr>
        <w:t>artikel</w:t>
      </w:r>
      <w:r w:rsidRPr="0052631D">
        <w:rPr>
          <w:rFonts w:ascii="Times New Roman" w:hAnsi="Times New Roman" w:cs="Times New Roman"/>
        </w:rPr>
        <w:t xml:space="preserve"> 2:248 lid 2 BW. Dit vermoeden houdt in dat wanneer het bestuur niet heeft voldaan aan </w:t>
      </w:r>
      <w:r>
        <w:rPr>
          <w:rFonts w:ascii="Times New Roman" w:hAnsi="Times New Roman" w:cs="Times New Roman"/>
        </w:rPr>
        <w:t>zijn</w:t>
      </w:r>
      <w:r w:rsidRPr="0052631D">
        <w:rPr>
          <w:rFonts w:ascii="Times New Roman" w:hAnsi="Times New Roman" w:cs="Times New Roman"/>
        </w:rPr>
        <w:t xml:space="preserve"> verplichting van </w:t>
      </w:r>
      <w:r>
        <w:rPr>
          <w:rFonts w:ascii="Times New Roman" w:hAnsi="Times New Roman" w:cs="Times New Roman"/>
        </w:rPr>
        <w:t>artikel</w:t>
      </w:r>
      <w:r w:rsidRPr="0052631D">
        <w:rPr>
          <w:rFonts w:ascii="Times New Roman" w:hAnsi="Times New Roman" w:cs="Times New Roman"/>
        </w:rPr>
        <w:t xml:space="preserve"> 2:10 of 2:394 BW, wordt vermoed dat dit een belangrijke oorzaak van het faillissement van de vennootschap is. De curator bevindt zich in dat geval in een makkelijke positie. Hij hoeft slechts te stellen dat de jaarstukken niet tijdig gepubliceerd zijn. De bestuurder is dan aansprakelijk, tenzij (</w:t>
      </w:r>
      <w:r>
        <w:rPr>
          <w:rFonts w:ascii="Times New Roman" w:hAnsi="Times New Roman" w:cs="Times New Roman"/>
        </w:rPr>
        <w:t>1</w:t>
      </w:r>
      <w:r w:rsidRPr="0052631D">
        <w:rPr>
          <w:rFonts w:ascii="Times New Roman" w:hAnsi="Times New Roman" w:cs="Times New Roman"/>
        </w:rPr>
        <w:t>) sprake is van een onbelangrijk verzuim, (</w:t>
      </w:r>
      <w:r>
        <w:rPr>
          <w:rFonts w:ascii="Times New Roman" w:hAnsi="Times New Roman" w:cs="Times New Roman"/>
        </w:rPr>
        <w:t>2</w:t>
      </w:r>
      <w:r w:rsidRPr="0052631D">
        <w:rPr>
          <w:rFonts w:ascii="Times New Roman" w:hAnsi="Times New Roman" w:cs="Times New Roman"/>
        </w:rPr>
        <w:t>) het faillissement het gevolg is van een andere oorzaak (en niet van de onbehoorlijke taakvervulling van het bestuur op basis van het niet voldoen aan de verplichting van art. 2:10 of 2:394 BW), (</w:t>
      </w:r>
      <w:r>
        <w:rPr>
          <w:rFonts w:ascii="Times New Roman" w:hAnsi="Times New Roman" w:cs="Times New Roman"/>
        </w:rPr>
        <w:t>3</w:t>
      </w:r>
      <w:r w:rsidRPr="0052631D">
        <w:rPr>
          <w:rFonts w:ascii="Times New Roman" w:hAnsi="Times New Roman" w:cs="Times New Roman"/>
        </w:rPr>
        <w:t xml:space="preserve">) de onbehoorlijke taakvervulling van het bestuur op basis van het niet voldoen aan de verplichting van </w:t>
      </w:r>
      <w:r>
        <w:rPr>
          <w:rFonts w:ascii="Times New Roman" w:hAnsi="Times New Roman" w:cs="Times New Roman"/>
        </w:rPr>
        <w:t>artikel</w:t>
      </w:r>
      <w:r w:rsidRPr="0052631D">
        <w:rPr>
          <w:rFonts w:ascii="Times New Roman" w:hAnsi="Times New Roman" w:cs="Times New Roman"/>
        </w:rPr>
        <w:t xml:space="preserve"> 2:10 of 2:394 BW niet aan de bestuurder in kwestie is te wijten en (</w:t>
      </w:r>
      <w:r>
        <w:rPr>
          <w:rFonts w:ascii="Times New Roman" w:hAnsi="Times New Roman" w:cs="Times New Roman"/>
        </w:rPr>
        <w:t>4</w:t>
      </w:r>
      <w:r w:rsidRPr="0052631D">
        <w:rPr>
          <w:rFonts w:ascii="Times New Roman" w:hAnsi="Times New Roman" w:cs="Times New Roman"/>
        </w:rPr>
        <w:t>) de aansprakelijkheid van de bestuurder voor het boedeltekort moet worden gematigd tot nihil.</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Uit het Van Schilt/Jansen-arrest</w:t>
      </w:r>
      <w:r w:rsidRPr="0052631D">
        <w:rPr>
          <w:rStyle w:val="Voetnootmarkering"/>
          <w:rFonts w:ascii="Times New Roman" w:hAnsi="Times New Roman" w:cs="Times New Roman"/>
        </w:rPr>
        <w:footnoteReference w:id="17"/>
      </w:r>
      <w:r w:rsidRPr="0052631D">
        <w:rPr>
          <w:rFonts w:ascii="Times New Roman" w:hAnsi="Times New Roman" w:cs="Times New Roman"/>
        </w:rPr>
        <w:t xml:space="preserve"> volgt dat </w:t>
      </w:r>
      <w:r>
        <w:rPr>
          <w:rFonts w:ascii="Times New Roman" w:hAnsi="Times New Roman" w:cs="Times New Roman"/>
        </w:rPr>
        <w:t>artikel</w:t>
      </w:r>
      <w:r w:rsidRPr="0052631D">
        <w:rPr>
          <w:rFonts w:ascii="Times New Roman" w:hAnsi="Times New Roman" w:cs="Times New Roman"/>
        </w:rPr>
        <w:t xml:space="preserve"> 2:248 lid 2 BW ziet op </w:t>
      </w:r>
      <w:r w:rsidRPr="0052631D">
        <w:rPr>
          <w:rFonts w:ascii="Times New Roman" w:hAnsi="Times New Roman" w:cs="Times New Roman"/>
          <w:i/>
        </w:rPr>
        <w:t>alle</w:t>
      </w:r>
      <w:r w:rsidRPr="0052631D">
        <w:rPr>
          <w:rFonts w:ascii="Times New Roman" w:hAnsi="Times New Roman" w:cs="Times New Roman"/>
        </w:rPr>
        <w:t xml:space="preserve"> verplichtingen voortvloeiende uit </w:t>
      </w:r>
      <w:r>
        <w:rPr>
          <w:rFonts w:ascii="Times New Roman" w:hAnsi="Times New Roman" w:cs="Times New Roman"/>
        </w:rPr>
        <w:t>artikel</w:t>
      </w:r>
      <w:r w:rsidRPr="0052631D">
        <w:rPr>
          <w:rFonts w:ascii="Times New Roman" w:hAnsi="Times New Roman" w:cs="Times New Roman"/>
        </w:rPr>
        <w:t xml:space="preserve"> 2:394 BW. Daarmee verdraagt zich niet de stelling van Van Hooff dat schending van de </w:t>
      </w:r>
      <w:r>
        <w:rPr>
          <w:rFonts w:ascii="Times New Roman" w:hAnsi="Times New Roman" w:cs="Times New Roman"/>
        </w:rPr>
        <w:t>artikel</w:t>
      </w:r>
      <w:r w:rsidRPr="0052631D">
        <w:rPr>
          <w:rFonts w:ascii="Times New Roman" w:hAnsi="Times New Roman" w:cs="Times New Roman"/>
        </w:rPr>
        <w:t xml:space="preserve"> 2:394 BW-verplichting niet leidt tot de toepasselijkheid van </w:t>
      </w:r>
      <w:r>
        <w:rPr>
          <w:rFonts w:ascii="Times New Roman" w:hAnsi="Times New Roman" w:cs="Times New Roman"/>
        </w:rPr>
        <w:t>artikel</w:t>
      </w:r>
      <w:r w:rsidRPr="0052631D">
        <w:rPr>
          <w:rFonts w:ascii="Times New Roman" w:hAnsi="Times New Roman" w:cs="Times New Roman"/>
        </w:rPr>
        <w:t xml:space="preserve"> 2:248 lid 2 BW.</w:t>
      </w:r>
      <w:r w:rsidRPr="0052631D">
        <w:rPr>
          <w:rStyle w:val="Voetnootmarkering"/>
          <w:rFonts w:ascii="Times New Roman" w:hAnsi="Times New Roman" w:cs="Times New Roman"/>
        </w:rPr>
        <w:footnoteReference w:id="18"/>
      </w:r>
      <w:r w:rsidRPr="0052631D">
        <w:rPr>
          <w:rFonts w:ascii="Times New Roman" w:hAnsi="Times New Roman" w:cs="Times New Roman"/>
        </w:rPr>
        <w:t xml:space="preserve"> Immers, vanwege deze schending staat vast dat het bestuur zijn taak onbehoorlijk heeft vervuld. In beginsel is daarmee de aansprakelijkheid van het bestuur een gegeven, waarbij de bewijslast ten aanzien van het causaal verband tussen het onbehoorlijk bestuur en het faillissement van de vennootschap wordt </w:t>
      </w:r>
      <w:r>
        <w:rPr>
          <w:rFonts w:ascii="Times New Roman" w:hAnsi="Times New Roman" w:cs="Times New Roman"/>
        </w:rPr>
        <w:t>‘</w:t>
      </w:r>
      <w:r w:rsidRPr="0052631D">
        <w:rPr>
          <w:rFonts w:ascii="Times New Roman" w:hAnsi="Times New Roman" w:cs="Times New Roman"/>
        </w:rPr>
        <w:t>omgedraaid</w:t>
      </w:r>
      <w:r>
        <w:rPr>
          <w:rFonts w:ascii="Times New Roman" w:hAnsi="Times New Roman" w:cs="Times New Roman"/>
        </w:rPr>
        <w:t>’</w:t>
      </w:r>
      <w:r w:rsidRPr="0052631D">
        <w:rPr>
          <w:rFonts w:ascii="Times New Roman" w:hAnsi="Times New Roman" w:cs="Times New Roman"/>
        </w:rPr>
        <w:t xml:space="preserve">. De enige manier om aan de aansprakelijkheid op basis van </w:t>
      </w:r>
      <w:r>
        <w:rPr>
          <w:rFonts w:ascii="Times New Roman" w:hAnsi="Times New Roman" w:cs="Times New Roman"/>
        </w:rPr>
        <w:t>artikel</w:t>
      </w:r>
      <w:r w:rsidRPr="0052631D">
        <w:rPr>
          <w:rFonts w:ascii="Times New Roman" w:hAnsi="Times New Roman" w:cs="Times New Roman"/>
        </w:rPr>
        <w:t xml:space="preserve"> 2:394 jo. </w:t>
      </w:r>
      <w:r>
        <w:rPr>
          <w:rFonts w:ascii="Times New Roman" w:hAnsi="Times New Roman" w:cs="Times New Roman"/>
        </w:rPr>
        <w:t>artikel</w:t>
      </w:r>
      <w:r w:rsidRPr="0052631D">
        <w:rPr>
          <w:rFonts w:ascii="Times New Roman" w:hAnsi="Times New Roman" w:cs="Times New Roman"/>
        </w:rPr>
        <w:t xml:space="preserve"> 2:248 lid 2 BW te ontkomen, is het weerleggen van het vermoeden dat de onbehoorlijke taakvervulling geen belangrijke oorzaak is van het faillissement van de vennootschap. Op de bestuurder(s) lig</w:t>
      </w:r>
      <w:r w:rsidR="00DF63BB">
        <w:rPr>
          <w:rFonts w:ascii="Times New Roman" w:hAnsi="Times New Roman" w:cs="Times New Roman"/>
        </w:rPr>
        <w:t>(t)(gen)</w:t>
      </w:r>
      <w:r w:rsidRPr="0052631D">
        <w:rPr>
          <w:rFonts w:ascii="Times New Roman" w:hAnsi="Times New Roman" w:cs="Times New Roman"/>
        </w:rPr>
        <w:t xml:space="preserve"> daarvan de stelplicht en de bewijslast.</w:t>
      </w:r>
      <w:r w:rsidRPr="0052631D">
        <w:rPr>
          <w:rStyle w:val="Voetnootmarkering"/>
          <w:rFonts w:ascii="Times New Roman" w:hAnsi="Times New Roman" w:cs="Times New Roman"/>
        </w:rPr>
        <w:footnoteReference w:id="19"/>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Gelet op dit wettelijke systeem hebben wij er eerder op gewezen dat een bestuurder persoonlijk aansprakelijk </w:t>
      </w:r>
      <w:r w:rsidRPr="0052631D">
        <w:rPr>
          <w:rFonts w:ascii="Times New Roman" w:hAnsi="Times New Roman" w:cs="Times New Roman"/>
          <w:i/>
        </w:rPr>
        <w:t>kan</w:t>
      </w:r>
      <w:r w:rsidRPr="0052631D">
        <w:rPr>
          <w:rFonts w:ascii="Times New Roman" w:hAnsi="Times New Roman" w:cs="Times New Roman"/>
        </w:rPr>
        <w:t xml:space="preserve"> zijn bij niet-tijdige deponering. Ter vermijding van dit risico doet het bestuur er, gelet op het voorgaande, goed aan de jaarrekening tijdig na haar vereenvoudigde vaststelling te deponeren en niet de termijn van dertien maanden af te wachten.</w:t>
      </w:r>
      <w:r w:rsidRPr="0052631D">
        <w:rPr>
          <w:rStyle w:val="Voetnootmarkering"/>
          <w:rFonts w:ascii="Times New Roman" w:hAnsi="Times New Roman" w:cs="Times New Roman"/>
        </w:rPr>
        <w:footnoteReference w:id="20"/>
      </w:r>
    </w:p>
    <w:p w:rsidR="00E3205B" w:rsidRPr="0052631D" w:rsidRDefault="00E3205B" w:rsidP="00E3205B">
      <w:pPr>
        <w:spacing w:after="0" w:line="240" w:lineRule="auto"/>
        <w:rPr>
          <w:rFonts w:ascii="Times New Roman" w:hAnsi="Times New Roman" w:cs="Times New Roman"/>
        </w:rPr>
      </w:pPr>
    </w:p>
    <w:p w:rsidR="00E3205B" w:rsidRDefault="00E3205B" w:rsidP="00E3205B">
      <w:pPr>
        <w:spacing w:after="0" w:line="240" w:lineRule="auto"/>
        <w:rPr>
          <w:rFonts w:ascii="Times New Roman" w:hAnsi="Times New Roman" w:cs="Times New Roman"/>
        </w:rPr>
      </w:pPr>
      <w:r w:rsidRPr="0052631D">
        <w:rPr>
          <w:rFonts w:ascii="Times New Roman" w:hAnsi="Times New Roman" w:cs="Times New Roman"/>
        </w:rPr>
        <w:t>In de literatuur wordt op grond van het Brens q.q./Sarper-arrest</w:t>
      </w:r>
      <w:r w:rsidRPr="0052631D">
        <w:rPr>
          <w:rStyle w:val="Voetnootmarkering"/>
          <w:rFonts w:ascii="Times New Roman" w:hAnsi="Times New Roman" w:cs="Times New Roman"/>
        </w:rPr>
        <w:footnoteReference w:id="21"/>
      </w:r>
      <w:r w:rsidRPr="0052631D">
        <w:rPr>
          <w:rFonts w:ascii="Times New Roman" w:hAnsi="Times New Roman" w:cs="Times New Roman"/>
        </w:rPr>
        <w:t xml:space="preserve"> aangenomen dat een depot van de vastgestelde jaarrekening binnen de termijn van dertien maanden na einde boekjaar (art. 2:394 lid 3 </w:t>
      </w:r>
      <w:r w:rsidRPr="0052631D">
        <w:rPr>
          <w:rFonts w:ascii="Times New Roman" w:hAnsi="Times New Roman" w:cs="Times New Roman"/>
        </w:rPr>
        <w:lastRenderedPageBreak/>
        <w:t xml:space="preserve">BW) niet leidt tot boedelaansprakelijkheid ex </w:t>
      </w:r>
      <w:r>
        <w:rPr>
          <w:rFonts w:ascii="Times New Roman" w:hAnsi="Times New Roman" w:cs="Times New Roman"/>
        </w:rPr>
        <w:t>artikel</w:t>
      </w:r>
      <w:r w:rsidRPr="0052631D">
        <w:rPr>
          <w:rFonts w:ascii="Times New Roman" w:hAnsi="Times New Roman" w:cs="Times New Roman"/>
        </w:rPr>
        <w:t xml:space="preserve"> 2:248 lid 2 BW.</w:t>
      </w:r>
      <w:r w:rsidRPr="0052631D">
        <w:rPr>
          <w:rStyle w:val="Voetnootmarkering"/>
          <w:rFonts w:ascii="Times New Roman" w:hAnsi="Times New Roman" w:cs="Times New Roman"/>
        </w:rPr>
        <w:footnoteReference w:id="22"/>
      </w:r>
      <w:r w:rsidRPr="0052631D">
        <w:rPr>
          <w:rFonts w:ascii="Times New Roman" w:hAnsi="Times New Roman" w:cs="Times New Roman"/>
        </w:rPr>
        <w:t xml:space="preserve"> Ook Van Hooff huldigt deze opvatting onder verwijzing naar literatuur en dit arrest.</w:t>
      </w:r>
      <w:r w:rsidRPr="0052631D">
        <w:rPr>
          <w:rStyle w:val="Voetnootmarkering"/>
          <w:rFonts w:ascii="Times New Roman" w:hAnsi="Times New Roman" w:cs="Times New Roman"/>
        </w:rPr>
        <w:footnoteReference w:id="23"/>
      </w:r>
      <w:r w:rsidRPr="0052631D">
        <w:rPr>
          <w:rFonts w:ascii="Times New Roman" w:hAnsi="Times New Roman" w:cs="Times New Roman"/>
        </w:rPr>
        <w:t xml:space="preserve"> De Hoge Raad overwoog:</w:t>
      </w:r>
    </w:p>
    <w:p w:rsidR="00E3205B"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ind w:left="709"/>
        <w:rPr>
          <w:rFonts w:ascii="Times New Roman" w:hAnsi="Times New Roman" w:cs="Times New Roman"/>
        </w:rPr>
      </w:pPr>
      <w:r>
        <w:rPr>
          <w:rFonts w:ascii="Times New Roman" w:hAnsi="Times New Roman" w:cs="Times New Roman"/>
        </w:rPr>
        <w:t>‘</w:t>
      </w:r>
      <w:r w:rsidRPr="0063063D">
        <w:rPr>
          <w:rFonts w:ascii="Times New Roman" w:hAnsi="Times New Roman" w:cs="Times New Roman"/>
        </w:rPr>
        <w:t>Bij de beantwoording van de vraag of een niet tijdig voldoen aan de in art. 2:394 neergelegde publikatieverplichting al dan niet een onbelangrijk verzuim als vorenbedoeld oplevert, moet in aanmerking worden genomen dat de ingrijpende bepaling van art. 2:248 lid 2 eerste zin haar rechtvaardiging vindt in het belang dat crediteuren van de vennootschap hebben bij naleving van de daar vermelde voorschriften, en dat het voor die crediteuren niet van belang is of de termijn voor het opmaken van de jaarrekening op formeel juiste wijze is verlengd, aangezien zij in elk geval rekening dienen te houden met de mogelijkheid dat tot de door de wet toegestane verlenging is besloten. De regels betreffende de termijnen waarbinnen volgens art. 2:210 het bestuur zijn daar bedoelde voorbereidende taak moet verrichten en de wijze waarop de algemene vergadering aan het bestuur nog een verlenging kan toestaan, zijn van belang voor de taakverdeling binnen de vennootschap. Voor de crediteuren is in feite slechts van belang dat de jaarrekening niet later wordt gepubliceerd dan op het uiterste tijdstip dat in geval van verlenging van de termijn voor het opmaken geldt, dus uiterlijk dertien maanden na afloop van het boekjaar. Een redelijke uitleg van het bepaalde in art. 2:248 brengt daarom mee dat bij de beantwoording van voormelde vraag een overschrijding van de termijn voor openbaarmaking buiten beschouwing wordt gelaten voor zover die overschrijding het gevolg is van het ontbreken van een geldig besluit tot verlenging van de termijn geldende voor het opmaken van de jaarrekening.</w:t>
      </w:r>
      <w:r>
        <w:rPr>
          <w:rFonts w:ascii="Times New Roman" w:hAnsi="Times New Roman" w:cs="Times New Roman"/>
        </w:rPr>
        <w:t>’ (r.o. 3.3)</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Naar onze mening heeft het Brens q.q./Sarper-arrest alleen betrekking op de situatie waarin geen verlengingsbesluit in de zin van </w:t>
      </w:r>
      <w:r>
        <w:rPr>
          <w:rFonts w:ascii="Times New Roman" w:hAnsi="Times New Roman" w:cs="Times New Roman"/>
        </w:rPr>
        <w:t>artikel</w:t>
      </w:r>
      <w:r w:rsidRPr="0052631D">
        <w:rPr>
          <w:rFonts w:ascii="Times New Roman" w:hAnsi="Times New Roman" w:cs="Times New Roman"/>
        </w:rPr>
        <w:t xml:space="preserve"> 2:210 lid 1 BW is genomen. Over vaststelling rept de Hoge Raad niet. In het geval van een vereenvoudigde vaststelling in de zin van </w:t>
      </w:r>
      <w:r>
        <w:rPr>
          <w:rFonts w:ascii="Times New Roman" w:hAnsi="Times New Roman" w:cs="Times New Roman"/>
        </w:rPr>
        <w:t>artikel</w:t>
      </w:r>
      <w:r w:rsidRPr="0052631D">
        <w:rPr>
          <w:rFonts w:ascii="Times New Roman" w:hAnsi="Times New Roman" w:cs="Times New Roman"/>
        </w:rPr>
        <w:t xml:space="preserve"> 2:210 lid 5 BW gaat het niet om een verlengingsbesluit voor het opmaken van de jaarrekening. Artikel 2:210 lid 5 BW ziet op de wijze van vaststelling van de jaarrekening. Kort gezegd</w:t>
      </w:r>
      <w:r w:rsidR="00DF63BB">
        <w:rPr>
          <w:rFonts w:ascii="Times New Roman" w:hAnsi="Times New Roman" w:cs="Times New Roman"/>
        </w:rPr>
        <w:t>,</w:t>
      </w:r>
      <w:r w:rsidRPr="0052631D">
        <w:rPr>
          <w:rFonts w:ascii="Times New Roman" w:hAnsi="Times New Roman" w:cs="Times New Roman"/>
        </w:rPr>
        <w:t xml:space="preserve"> bepaalt dat artikellid dat als alle aandeelhouders ook bestuurder van de vennootschap zijn</w:t>
      </w:r>
      <w:r>
        <w:rPr>
          <w:rFonts w:ascii="Times New Roman" w:hAnsi="Times New Roman" w:cs="Times New Roman"/>
        </w:rPr>
        <w:t>,</w:t>
      </w:r>
      <w:r w:rsidRPr="0052631D">
        <w:rPr>
          <w:rFonts w:ascii="Times New Roman" w:hAnsi="Times New Roman" w:cs="Times New Roman"/>
        </w:rPr>
        <w:t xml:space="preserve"> de ondertekening van de jaarrekening tevens als haar vaststelling geldt. Op grond van </w:t>
      </w:r>
      <w:r>
        <w:rPr>
          <w:rFonts w:ascii="Times New Roman" w:hAnsi="Times New Roman" w:cs="Times New Roman"/>
        </w:rPr>
        <w:t>artikel</w:t>
      </w:r>
      <w:r w:rsidRPr="0052631D">
        <w:rPr>
          <w:rFonts w:ascii="Times New Roman" w:hAnsi="Times New Roman" w:cs="Times New Roman"/>
        </w:rPr>
        <w:t xml:space="preserve"> 2:394 lid 1 BW moet de op die wijze vastgestelde jaarrekening vervolgens binnen acht dagen </w:t>
      </w:r>
      <w:r>
        <w:rPr>
          <w:rFonts w:ascii="Times New Roman" w:hAnsi="Times New Roman" w:cs="Times New Roman"/>
        </w:rPr>
        <w:t xml:space="preserve">worden </w:t>
      </w:r>
      <w:r w:rsidRPr="0052631D">
        <w:rPr>
          <w:rFonts w:ascii="Times New Roman" w:hAnsi="Times New Roman" w:cs="Times New Roman"/>
        </w:rPr>
        <w:t xml:space="preserve">gepubliceerd. De Hoge Raad noemt in het Brens q.q./Sarper-arrest de dertienmaandentermijn slechts in het kader van het </w:t>
      </w:r>
      <w:r>
        <w:rPr>
          <w:rFonts w:ascii="Times New Roman" w:hAnsi="Times New Roman" w:cs="Times New Roman"/>
        </w:rPr>
        <w:t>‘</w:t>
      </w:r>
      <w:r w:rsidRPr="0052631D">
        <w:rPr>
          <w:rFonts w:ascii="Times New Roman" w:hAnsi="Times New Roman" w:cs="Times New Roman"/>
        </w:rPr>
        <w:t>uiterste tijdstip</w:t>
      </w:r>
      <w:r>
        <w:rPr>
          <w:rFonts w:ascii="Times New Roman" w:hAnsi="Times New Roman" w:cs="Times New Roman"/>
        </w:rPr>
        <w:t>’</w:t>
      </w:r>
      <w:r w:rsidRPr="0052631D">
        <w:rPr>
          <w:rFonts w:ascii="Times New Roman" w:hAnsi="Times New Roman" w:cs="Times New Roman"/>
        </w:rPr>
        <w:t xml:space="preserve"> voor publicatie van de jaarrekening. Zoals gesteld, er kan echter al eerder een verplichting tot publicatie zijn ontstaan.</w:t>
      </w:r>
      <w:r w:rsidRPr="0052631D">
        <w:rPr>
          <w:rStyle w:val="Voetnootmarkering"/>
          <w:rFonts w:ascii="Times New Roman" w:hAnsi="Times New Roman" w:cs="Times New Roman"/>
        </w:rPr>
        <w:footnoteReference w:id="24"/>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Gelijk A-G Asser in zijn conclusie onder het arrest schreef, is het besluit tot verlenging van de termijn om de jaarrekening op te maken een besluit met interne werking. De algemene vergadering geeft het bestuur van de vennootschap een langere termijn voor het opmaken van de jaarrekening. Deze besluitvorming is voor derden, onder </w:t>
      </w:r>
      <w:r>
        <w:rPr>
          <w:rFonts w:ascii="Times New Roman" w:hAnsi="Times New Roman" w:cs="Times New Roman"/>
        </w:rPr>
        <w:t xml:space="preserve">wie </w:t>
      </w:r>
      <w:r w:rsidRPr="0052631D">
        <w:rPr>
          <w:rFonts w:ascii="Times New Roman" w:hAnsi="Times New Roman" w:cs="Times New Roman"/>
        </w:rPr>
        <w:t>crediteuren, onzichtbaar. De Hoge Raad kende daarom aan het ontbreken van dit besluit, terecht, geen gewicht toe.</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b/>
        </w:rPr>
      </w:pPr>
      <w:r w:rsidRPr="0052631D">
        <w:rPr>
          <w:rFonts w:ascii="Times New Roman" w:hAnsi="Times New Roman" w:cs="Times New Roman"/>
          <w:b/>
        </w:rPr>
        <w:t>4</w:t>
      </w:r>
      <w:r w:rsidRPr="0052631D">
        <w:rPr>
          <w:rFonts w:ascii="Times New Roman" w:hAnsi="Times New Roman" w:cs="Times New Roman"/>
          <w:b/>
        </w:rPr>
        <w:tab/>
        <w:t>De vereenvoudigde vaststelling van de jaarrekening: een extern besluit</w:t>
      </w: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Bij een vereenvoudigde vaststelling van de jaarrekening is (ook) de vraag aan de orde of sprake is van een extern besluit. Zoals wij eerder opgemerkt hebben, is dat onduidelijk.</w:t>
      </w:r>
      <w:r w:rsidRPr="0052631D">
        <w:rPr>
          <w:rStyle w:val="Voetnootmarkering"/>
          <w:rFonts w:ascii="Times New Roman" w:hAnsi="Times New Roman" w:cs="Times New Roman"/>
        </w:rPr>
        <w:footnoteReference w:id="25"/>
      </w:r>
      <w:r w:rsidRPr="0052631D">
        <w:rPr>
          <w:rFonts w:ascii="Times New Roman" w:hAnsi="Times New Roman" w:cs="Times New Roman"/>
        </w:rPr>
        <w:t xml:space="preserve"> Wij zouden vooralsnog tot uitgangspunt willen nemen dat de vereenvoudigde vaststelling van de jaarrekening in de zin van </w:t>
      </w:r>
      <w:r>
        <w:rPr>
          <w:rFonts w:ascii="Times New Roman" w:hAnsi="Times New Roman" w:cs="Times New Roman"/>
        </w:rPr>
        <w:t>artikel</w:t>
      </w:r>
      <w:r w:rsidRPr="0052631D">
        <w:rPr>
          <w:rFonts w:ascii="Times New Roman" w:hAnsi="Times New Roman" w:cs="Times New Roman"/>
        </w:rPr>
        <w:t xml:space="preserve"> 2:210 lid 5 BW externe werking heeft, althans beoogd te hebben. De minister beschouwt de publicatieverplichting als een </w:t>
      </w:r>
      <w:r w:rsidRPr="00944A52">
        <w:rPr>
          <w:rFonts w:ascii="Times New Roman" w:hAnsi="Times New Roman" w:cs="Times New Roman"/>
          <w:i/>
        </w:rPr>
        <w:t>‘zeer fundamentele verplichting van het bestuur’</w:t>
      </w:r>
      <w:r w:rsidRPr="00340008">
        <w:rPr>
          <w:rFonts w:ascii="Times New Roman" w:hAnsi="Times New Roman" w:cs="Times New Roman"/>
        </w:rPr>
        <w:t xml:space="preserve"> of </w:t>
      </w:r>
      <w:r w:rsidRPr="00944A52">
        <w:rPr>
          <w:rFonts w:ascii="Times New Roman" w:hAnsi="Times New Roman" w:cs="Times New Roman"/>
        </w:rPr>
        <w:t xml:space="preserve">‘een van de wezenlijke ten opzichte van derden die met de vennootschap te maken hebben meest belangrijke </w:t>
      </w:r>
      <w:r w:rsidRPr="00944A52">
        <w:rPr>
          <w:rFonts w:ascii="Times New Roman" w:hAnsi="Times New Roman" w:cs="Times New Roman"/>
        </w:rPr>
        <w:lastRenderedPageBreak/>
        <w:t>bestuurstaken’</w:t>
      </w:r>
      <w:r w:rsidRPr="0052631D">
        <w:rPr>
          <w:rFonts w:ascii="Times New Roman" w:hAnsi="Times New Roman" w:cs="Times New Roman"/>
        </w:rPr>
        <w:t>.</w:t>
      </w:r>
      <w:r w:rsidRPr="0052631D">
        <w:rPr>
          <w:rStyle w:val="Voetnootmarkering"/>
          <w:rFonts w:ascii="Times New Roman" w:hAnsi="Times New Roman" w:cs="Times New Roman"/>
        </w:rPr>
        <w:footnoteReference w:id="26"/>
      </w:r>
      <w:r w:rsidRPr="0052631D">
        <w:rPr>
          <w:rFonts w:ascii="Times New Roman" w:hAnsi="Times New Roman" w:cs="Times New Roman"/>
        </w:rPr>
        <w:t xml:space="preserve"> Ook het citaat uit de memorie van toelichting van het eerdergenoemde voorstel van de Verzamelwet wijst op het feit dat de publicatieverplichting een van de belangrijk</w:t>
      </w:r>
      <w:r>
        <w:rPr>
          <w:rFonts w:ascii="Times New Roman" w:hAnsi="Times New Roman" w:cs="Times New Roman"/>
        </w:rPr>
        <w:t>st</w:t>
      </w:r>
      <w:r w:rsidRPr="0052631D">
        <w:rPr>
          <w:rFonts w:ascii="Times New Roman" w:hAnsi="Times New Roman" w:cs="Times New Roman"/>
        </w:rPr>
        <w:t>e bestuurstaken is. Ook wijst de minister in deze memorie van toelichting nogmaals op de datum van vaststelling en tijdige publicatie.</w:t>
      </w:r>
      <w:r w:rsidRPr="0052631D">
        <w:rPr>
          <w:rStyle w:val="Voetnootmarkering"/>
          <w:rFonts w:ascii="Times New Roman" w:hAnsi="Times New Roman" w:cs="Times New Roman"/>
        </w:rPr>
        <w:footnoteReference w:id="27"/>
      </w:r>
      <w:r w:rsidRPr="0052631D">
        <w:rPr>
          <w:rFonts w:ascii="Times New Roman" w:hAnsi="Times New Roman" w:cs="Times New Roman"/>
        </w:rPr>
        <w:t xml:space="preserve"> Geparafraseerd zou kunnen worden opgemerkt dat de termijn van dertien maanden geldt als het moment waarop belanghebbenden uiterlijk kennis moeten kunnen nemen van een al dan niet vastgestelde jaarrekening, en dat deze termijn in</w:t>
      </w:r>
      <w:r>
        <w:rPr>
          <w:rFonts w:ascii="Times New Roman" w:hAnsi="Times New Roman" w:cs="Times New Roman"/>
        </w:rPr>
        <w:t xml:space="preserve"> </w:t>
      </w:r>
      <w:r w:rsidRPr="0052631D">
        <w:rPr>
          <w:rFonts w:ascii="Times New Roman" w:hAnsi="Times New Roman" w:cs="Times New Roman"/>
        </w:rPr>
        <w:t xml:space="preserve">geval van een </w:t>
      </w:r>
      <w:r>
        <w:rPr>
          <w:rFonts w:ascii="Times New Roman" w:hAnsi="Times New Roman" w:cs="Times New Roman"/>
        </w:rPr>
        <w:t>artikel</w:t>
      </w:r>
      <w:r w:rsidRPr="0052631D">
        <w:rPr>
          <w:rFonts w:ascii="Times New Roman" w:hAnsi="Times New Roman" w:cs="Times New Roman"/>
        </w:rPr>
        <w:t xml:space="preserve"> 2:210 lid 5</w:t>
      </w:r>
      <w:r>
        <w:rPr>
          <w:rFonts w:ascii="Times New Roman" w:hAnsi="Times New Roman" w:cs="Times New Roman"/>
        </w:rPr>
        <w:t xml:space="preserve"> BW</w:t>
      </w:r>
      <w:r w:rsidRPr="0052631D">
        <w:rPr>
          <w:rFonts w:ascii="Times New Roman" w:hAnsi="Times New Roman" w:cs="Times New Roman"/>
        </w:rPr>
        <w:t>-situatie een kortere termijn, namelijk een termijn van elf maanden en acht dagen</w:t>
      </w:r>
      <w:r>
        <w:rPr>
          <w:rFonts w:ascii="Times New Roman" w:hAnsi="Times New Roman" w:cs="Times New Roman"/>
        </w:rPr>
        <w:t>,</w:t>
      </w:r>
      <w:r w:rsidRPr="0052631D">
        <w:rPr>
          <w:rFonts w:ascii="Times New Roman" w:hAnsi="Times New Roman" w:cs="Times New Roman"/>
        </w:rPr>
        <w:t xml:space="preserve"> is. Immers, belanghebbenden weten dat in het geval van </w:t>
      </w:r>
      <w:r>
        <w:rPr>
          <w:rFonts w:ascii="Times New Roman" w:hAnsi="Times New Roman" w:cs="Times New Roman"/>
        </w:rPr>
        <w:t>een ‘</w:t>
      </w:r>
      <w:r w:rsidRPr="0052631D">
        <w:rPr>
          <w:rFonts w:ascii="Times New Roman" w:hAnsi="Times New Roman" w:cs="Times New Roman"/>
        </w:rPr>
        <w:t xml:space="preserve">één </w:t>
      </w:r>
      <w:r>
        <w:rPr>
          <w:rFonts w:ascii="Times New Roman" w:hAnsi="Times New Roman" w:cs="Times New Roman"/>
        </w:rPr>
        <w:t>directeur-grootaandeelhouder’</w:t>
      </w:r>
      <w:r w:rsidRPr="0052631D">
        <w:rPr>
          <w:rFonts w:ascii="Times New Roman" w:hAnsi="Times New Roman" w:cs="Times New Roman"/>
        </w:rPr>
        <w:t>-situatie de jaarrekening uiterlijk binnen elf maanden en acht dagen moet zijn gepubliceerd.</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b/>
        </w:rPr>
      </w:pPr>
      <w:r w:rsidRPr="0052631D">
        <w:rPr>
          <w:rFonts w:ascii="Times New Roman" w:hAnsi="Times New Roman" w:cs="Times New Roman"/>
          <w:b/>
        </w:rPr>
        <w:t>5</w:t>
      </w:r>
      <w:r w:rsidRPr="0052631D">
        <w:rPr>
          <w:rFonts w:ascii="Times New Roman" w:hAnsi="Times New Roman" w:cs="Times New Roman"/>
          <w:b/>
        </w:rPr>
        <w:tab/>
        <w:t>Conclusie</w:t>
      </w:r>
    </w:p>
    <w:p w:rsidR="00E3205B"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De essentie van al het voorgaande is dat een bestuurder van een vennootschap moet vermijden ooit in een </w:t>
      </w:r>
      <w:r>
        <w:rPr>
          <w:rFonts w:ascii="Times New Roman" w:hAnsi="Times New Roman" w:cs="Times New Roman"/>
        </w:rPr>
        <w:t>artikel</w:t>
      </w:r>
      <w:r w:rsidRPr="0052631D">
        <w:rPr>
          <w:rFonts w:ascii="Times New Roman" w:hAnsi="Times New Roman" w:cs="Times New Roman"/>
        </w:rPr>
        <w:t xml:space="preserve"> 248 lid 2</w:t>
      </w:r>
      <w:r>
        <w:rPr>
          <w:rFonts w:ascii="Times New Roman" w:hAnsi="Times New Roman" w:cs="Times New Roman"/>
        </w:rPr>
        <w:t xml:space="preserve"> BW</w:t>
      </w:r>
      <w:r w:rsidRPr="0052631D">
        <w:rPr>
          <w:rFonts w:ascii="Times New Roman" w:hAnsi="Times New Roman" w:cs="Times New Roman"/>
        </w:rPr>
        <w:t>-situatie terecht te komen. Als de jaarrekening niet binnen elf maanden en acht dagen na haar vereenvoudigde vaststelling gepubliceerd wordt, dan is de onbehoorlijke taakvervulling een feit. Processueel staat de bestuurder dan 1-0 achter. Hij moet het vervolgens hebben van het weerlegbare vermoeden van ontbreken van causaliteit. Meer in het bijzonder moet hij stellen en bewijzen dat deze onbehoorlijke taakvervulling geen belangrijke oorzaak van het faillissement van de vennootschap is. Een onbelangrijk verzuim wordt niet in aanmerking genomen. In het Verify-arrest</w:t>
      </w:r>
      <w:r w:rsidRPr="0052631D">
        <w:rPr>
          <w:rStyle w:val="Voetnootmarkering"/>
          <w:rFonts w:ascii="Times New Roman" w:hAnsi="Times New Roman" w:cs="Times New Roman"/>
        </w:rPr>
        <w:footnoteReference w:id="28"/>
      </w:r>
      <w:r w:rsidRPr="0052631D">
        <w:rPr>
          <w:rFonts w:ascii="Times New Roman" w:hAnsi="Times New Roman" w:cs="Times New Roman"/>
        </w:rPr>
        <w:t xml:space="preserve"> heeft de Hoge Raad de regels daarover nog eens op een rij gezet:</w:t>
      </w:r>
    </w:p>
    <w:p w:rsidR="00E3205B" w:rsidRDefault="00E3205B" w:rsidP="00E3205B">
      <w:pPr>
        <w:spacing w:after="0" w:line="240" w:lineRule="auto"/>
        <w:rPr>
          <w:rFonts w:ascii="Times New Roman" w:hAnsi="Times New Roman" w:cs="Times New Roman"/>
        </w:rPr>
      </w:pPr>
    </w:p>
    <w:p w:rsidR="00E3205B" w:rsidRDefault="00E3205B" w:rsidP="00944A52">
      <w:pPr>
        <w:spacing w:after="0" w:line="240" w:lineRule="auto"/>
        <w:ind w:left="709"/>
        <w:rPr>
          <w:rFonts w:ascii="Times New Roman" w:hAnsi="Times New Roman" w:cs="Times New Roman"/>
        </w:rPr>
      </w:pPr>
      <w:r>
        <w:rPr>
          <w:rFonts w:ascii="Times New Roman" w:hAnsi="Times New Roman" w:cs="Times New Roman"/>
        </w:rPr>
        <w:t>‘</w:t>
      </w:r>
      <w:r w:rsidRPr="001A5F95">
        <w:rPr>
          <w:rFonts w:ascii="Times New Roman" w:hAnsi="Times New Roman" w:cs="Times New Roman"/>
        </w:rPr>
        <w:t>Van een onbelangrijk verzuim als bedoeld in de slotzin van art. 2:248 lid 2 BW is sprake indien het niet voldoen aan de verplichtingen als bedoeld in dat artikellid in de omstandigheden van het geval niet erop wijst dat het bestuur zijn taak onbehoorlijk heeft vervuld. Dit is met name het geval indien voor het verzuim een aanvaardbare verklaring bestaat. Indien het, zoals in dit geval, gaat om een overschrijding van de termijn van art. 2:394 lid 3 BW voor openbaarmaking van de jaarrekening, geldt dat het antwoord op de vraag of een overschrijding als een onbelangrijk verzuim kan gelden, afhangt van de omstandigheden van het geval, in het bijzonder van de redenen die tot de termijnoverschrijding hebben geleid, waarbij opmerking verdient dat hogere eisen moeten worden gesteld naarmate de termijnoverschrijding langer is en dat stelplicht en bewijslast op de aangesproken bestuurder rusten (HR 12 juli 2013, ECLI:NL:HR:2013:BZ7189).</w:t>
      </w:r>
      <w:r>
        <w:rPr>
          <w:rFonts w:ascii="Times New Roman" w:hAnsi="Times New Roman" w:cs="Times New Roman"/>
        </w:rPr>
        <w:t>’</w:t>
      </w:r>
    </w:p>
    <w:p w:rsidR="00E3205B" w:rsidRDefault="00E3205B" w:rsidP="00E3205B">
      <w:pPr>
        <w:spacing w:after="0" w:line="240" w:lineRule="auto"/>
        <w:rPr>
          <w:rFonts w:ascii="Times New Roman" w:hAnsi="Times New Roman" w:cs="Times New Roman"/>
        </w:rPr>
      </w:pPr>
    </w:p>
    <w:p w:rsidR="00E3205B" w:rsidRDefault="00E3205B" w:rsidP="00E3205B">
      <w:pPr>
        <w:spacing w:after="0" w:line="240" w:lineRule="auto"/>
        <w:rPr>
          <w:rFonts w:ascii="Times New Roman" w:hAnsi="Times New Roman" w:cs="Times New Roman"/>
        </w:rPr>
      </w:pPr>
      <w:r>
        <w:rPr>
          <w:rFonts w:ascii="Times New Roman" w:hAnsi="Times New Roman" w:cs="Times New Roman"/>
        </w:rPr>
        <w:t>E</w:t>
      </w:r>
      <w:r w:rsidRPr="0052631D">
        <w:rPr>
          <w:rFonts w:ascii="Times New Roman" w:hAnsi="Times New Roman" w:cs="Times New Roman"/>
        </w:rPr>
        <w:t>n</w:t>
      </w:r>
      <w:r>
        <w:rPr>
          <w:rFonts w:ascii="Times New Roman" w:hAnsi="Times New Roman" w:cs="Times New Roman"/>
        </w:rPr>
        <w:t>:</w:t>
      </w:r>
    </w:p>
    <w:p w:rsidR="00E3205B"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ind w:left="709"/>
        <w:rPr>
          <w:rFonts w:ascii="Times New Roman" w:hAnsi="Times New Roman" w:cs="Times New Roman"/>
        </w:rPr>
      </w:pPr>
      <w:r>
        <w:rPr>
          <w:rFonts w:ascii="Times New Roman" w:hAnsi="Times New Roman" w:cs="Times New Roman"/>
        </w:rPr>
        <w:t>‘</w:t>
      </w:r>
      <w:r w:rsidRPr="00DD5C53">
        <w:rPr>
          <w:rFonts w:ascii="Times New Roman" w:hAnsi="Times New Roman" w:cs="Times New Roman"/>
        </w:rPr>
        <w:t>(...) in geval van een relatief korte overschrijding van de termijn van art. 2:394 lid 3 BW [zijn] geen hoge eisen (...) te stellen aan de verklaring die daarvoor wordt gegeven (vgl. HR 11 juni 1993, ECLI:NL:HR:1993:ZC0994, NJ 1993/713 en HR 2 februari 1996, ECLI:NL:HR:1996:ZC1981, NJ 1996, 406).</w:t>
      </w:r>
      <w:r>
        <w:rPr>
          <w:rFonts w:ascii="Times New Roman" w:hAnsi="Times New Roman" w:cs="Times New Roman"/>
        </w:rPr>
        <w:t>’</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Bij een onbelangrijk verzuim speelt de dertienmaandentermijn dus wél een rol. Echter, in een faillissement is er meestal meer aan de hand dan alleen het niet-tijdig publiceren van de jaarrekening.</w:t>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r w:rsidRPr="0052631D">
        <w:rPr>
          <w:rFonts w:ascii="Times New Roman" w:hAnsi="Times New Roman" w:cs="Times New Roman"/>
        </w:rPr>
        <w:t xml:space="preserve">Kort en goed, zolang de wetgever </w:t>
      </w:r>
      <w:r>
        <w:rPr>
          <w:rFonts w:ascii="Times New Roman" w:hAnsi="Times New Roman" w:cs="Times New Roman"/>
        </w:rPr>
        <w:t>artikel</w:t>
      </w:r>
      <w:r w:rsidRPr="0052631D">
        <w:rPr>
          <w:rFonts w:ascii="Times New Roman" w:hAnsi="Times New Roman" w:cs="Times New Roman"/>
        </w:rPr>
        <w:t xml:space="preserve"> 2:210 lid 5 BW niet geschrapt of gewijzigd heeft of indien niet statutair van deze bepaling is afgeweken, </w:t>
      </w:r>
      <w:r>
        <w:rPr>
          <w:rFonts w:ascii="Times New Roman" w:hAnsi="Times New Roman" w:cs="Times New Roman"/>
        </w:rPr>
        <w:t>zijn</w:t>
      </w:r>
      <w:r w:rsidRPr="0052631D">
        <w:rPr>
          <w:rFonts w:ascii="Times New Roman" w:hAnsi="Times New Roman" w:cs="Times New Roman"/>
        </w:rPr>
        <w:t xml:space="preserve"> oplettendheid en tijdig deponeren vereist om te voorkomen dat het onweerlegbare vermoeden van onbehoorlijk bestuur zal gelden en de bestuurder daardoor in een lastige(re) procespositie komt te verkeren. </w:t>
      </w:r>
      <w:r w:rsidRPr="0052631D">
        <w:rPr>
          <w:rFonts w:ascii="Times New Roman" w:hAnsi="Times New Roman" w:cs="Times New Roman"/>
          <w:i/>
        </w:rPr>
        <w:t>Better safe than sorry.</w:t>
      </w:r>
      <w:r w:rsidRPr="0052631D">
        <w:rPr>
          <w:rFonts w:ascii="Times New Roman" w:hAnsi="Times New Roman" w:cs="Times New Roman"/>
        </w:rPr>
        <w:t xml:space="preserve"> En een adviseur moet de bestuurder in ieder geval wijzen op de risico</w:t>
      </w:r>
      <w:r>
        <w:rPr>
          <w:rFonts w:ascii="Times New Roman" w:hAnsi="Times New Roman" w:cs="Times New Roman"/>
        </w:rPr>
        <w:t>’</w:t>
      </w:r>
      <w:r w:rsidRPr="0052631D">
        <w:rPr>
          <w:rFonts w:ascii="Times New Roman" w:hAnsi="Times New Roman" w:cs="Times New Roman"/>
        </w:rPr>
        <w:t>s die het overschrijden van deze termijn met zich brengen, zodat de bestuurder een weloverwogen beslissing kan nemen.</w:t>
      </w:r>
      <w:r w:rsidRPr="0052631D">
        <w:rPr>
          <w:rStyle w:val="Voetnootmarkering"/>
          <w:rFonts w:ascii="Times New Roman" w:hAnsi="Times New Roman" w:cs="Times New Roman"/>
        </w:rPr>
        <w:footnoteReference w:id="29"/>
      </w:r>
      <w:r w:rsidRPr="0052631D">
        <w:rPr>
          <w:rFonts w:ascii="Times New Roman" w:hAnsi="Times New Roman" w:cs="Times New Roman"/>
        </w:rPr>
        <w:t xml:space="preserve"> Meer en anders hebben wij in </w:t>
      </w:r>
      <w:r w:rsidRPr="0052631D">
        <w:rPr>
          <w:rFonts w:ascii="Times New Roman" w:hAnsi="Times New Roman" w:cs="Times New Roman"/>
        </w:rPr>
        <w:lastRenderedPageBreak/>
        <w:t xml:space="preserve">onze eerdere bijdrage in </w:t>
      </w:r>
      <w:r>
        <w:rPr>
          <w:rFonts w:ascii="Times New Roman" w:hAnsi="Times New Roman" w:cs="Times New Roman"/>
        </w:rPr>
        <w:t xml:space="preserve">het Tijdschrift voor </w:t>
      </w:r>
      <w:r w:rsidR="00944A52">
        <w:rPr>
          <w:rFonts w:ascii="Times New Roman" w:hAnsi="Times New Roman" w:cs="Times New Roman"/>
        </w:rPr>
        <w:t>vennootschapsrecht, rechtspersonenrecht en o</w:t>
      </w:r>
      <w:r>
        <w:rPr>
          <w:rFonts w:ascii="Times New Roman" w:hAnsi="Times New Roman" w:cs="Times New Roman"/>
        </w:rPr>
        <w:t>ndernemingsbestuur</w:t>
      </w:r>
      <w:r w:rsidRPr="0052631D">
        <w:rPr>
          <w:rFonts w:ascii="Times New Roman" w:hAnsi="Times New Roman" w:cs="Times New Roman"/>
        </w:rPr>
        <w:t xml:space="preserve"> niet gesteld.</w:t>
      </w:r>
      <w:r w:rsidRPr="0052631D">
        <w:rPr>
          <w:rStyle w:val="Voetnootmarkering"/>
          <w:rFonts w:ascii="Times New Roman" w:hAnsi="Times New Roman" w:cs="Times New Roman"/>
        </w:rPr>
        <w:footnoteReference w:id="30"/>
      </w:r>
    </w:p>
    <w:p w:rsidR="00E3205B" w:rsidRPr="0052631D" w:rsidRDefault="00E3205B" w:rsidP="00E3205B">
      <w:pPr>
        <w:spacing w:after="0" w:line="240" w:lineRule="auto"/>
        <w:rPr>
          <w:rFonts w:ascii="Times New Roman" w:hAnsi="Times New Roman" w:cs="Times New Roman"/>
        </w:rPr>
      </w:pPr>
    </w:p>
    <w:p w:rsidR="00E3205B" w:rsidRPr="0052631D" w:rsidRDefault="00E3205B" w:rsidP="00E3205B">
      <w:pPr>
        <w:spacing w:after="0" w:line="240" w:lineRule="auto"/>
        <w:rPr>
          <w:rFonts w:ascii="Times New Roman" w:hAnsi="Times New Roman" w:cs="Times New Roman"/>
        </w:rPr>
      </w:pPr>
    </w:p>
    <w:sectPr w:rsidR="00E3205B" w:rsidRPr="0052631D" w:rsidSect="008A1A12">
      <w:footerReference w:type="even" r:id="rId6"/>
      <w:footerReference w:type="default" r:id="rId7"/>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F9" w:rsidRDefault="009758F9" w:rsidP="00E3205B">
      <w:pPr>
        <w:spacing w:after="0" w:line="240" w:lineRule="auto"/>
      </w:pPr>
      <w:r>
        <w:separator/>
      </w:r>
    </w:p>
  </w:endnote>
  <w:endnote w:type="continuationSeparator" w:id="0">
    <w:p w:rsidR="009758F9" w:rsidRDefault="009758F9" w:rsidP="00E3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7E" w:rsidRDefault="008A1A12" w:rsidP="000C3251">
    <w:pPr>
      <w:pStyle w:val="Voettekst"/>
      <w:framePr w:wrap="around" w:vAnchor="text" w:hAnchor="margin" w:xAlign="center" w:y="1"/>
      <w:rPr>
        <w:rStyle w:val="Paginanummer"/>
      </w:rPr>
    </w:pPr>
    <w:r>
      <w:rPr>
        <w:rStyle w:val="Paginanummer"/>
      </w:rPr>
      <w:fldChar w:fldCharType="begin"/>
    </w:r>
    <w:r w:rsidR="00380B19">
      <w:rPr>
        <w:rStyle w:val="Paginanummer"/>
      </w:rPr>
      <w:instrText xml:space="preserve">PAGE  </w:instrText>
    </w:r>
    <w:r>
      <w:rPr>
        <w:rStyle w:val="Paginanummer"/>
      </w:rPr>
      <w:fldChar w:fldCharType="end"/>
    </w:r>
  </w:p>
  <w:p w:rsidR="004C1A7E" w:rsidRDefault="009758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7E" w:rsidRDefault="008A1A12" w:rsidP="000C3251">
    <w:pPr>
      <w:pStyle w:val="Voettekst"/>
      <w:framePr w:wrap="around" w:vAnchor="text" w:hAnchor="margin" w:xAlign="center" w:y="1"/>
      <w:rPr>
        <w:rStyle w:val="Paginanummer"/>
      </w:rPr>
    </w:pPr>
    <w:r>
      <w:rPr>
        <w:rStyle w:val="Paginanummer"/>
      </w:rPr>
      <w:fldChar w:fldCharType="begin"/>
    </w:r>
    <w:r w:rsidR="00380B19">
      <w:rPr>
        <w:rStyle w:val="Paginanummer"/>
      </w:rPr>
      <w:instrText xml:space="preserve">PAGE  </w:instrText>
    </w:r>
    <w:r>
      <w:rPr>
        <w:rStyle w:val="Paginanummer"/>
      </w:rPr>
      <w:fldChar w:fldCharType="separate"/>
    </w:r>
    <w:r w:rsidR="00272383">
      <w:rPr>
        <w:rStyle w:val="Paginanummer"/>
        <w:noProof/>
      </w:rPr>
      <w:t>1</w:t>
    </w:r>
    <w:r>
      <w:rPr>
        <w:rStyle w:val="Paginanummer"/>
      </w:rPr>
      <w:fldChar w:fldCharType="end"/>
    </w:r>
  </w:p>
  <w:p w:rsidR="004C1A7E" w:rsidRDefault="00975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F9" w:rsidRDefault="009758F9" w:rsidP="00E3205B">
      <w:pPr>
        <w:spacing w:after="0" w:line="240" w:lineRule="auto"/>
      </w:pPr>
      <w:r>
        <w:separator/>
      </w:r>
    </w:p>
  </w:footnote>
  <w:footnote w:type="continuationSeparator" w:id="0">
    <w:p w:rsidR="009758F9" w:rsidRDefault="009758F9" w:rsidP="00E3205B">
      <w:pPr>
        <w:spacing w:after="0" w:line="240" w:lineRule="auto"/>
      </w:pPr>
      <w:r>
        <w:continuationSeparator/>
      </w:r>
    </w:p>
  </w:footnote>
  <w:footnote w:id="1">
    <w:p w:rsidR="00E3205B" w:rsidRPr="008C3057" w:rsidRDefault="00E3205B" w:rsidP="00E3205B">
      <w:pPr>
        <w:pStyle w:val="Voetnoottekst"/>
        <w:rPr>
          <w:rFonts w:ascii="Times New Roman" w:hAnsi="Times New Roman"/>
        </w:rPr>
      </w:pPr>
      <w:r w:rsidRPr="008C3057">
        <w:rPr>
          <w:rStyle w:val="Voetnootmarkering"/>
          <w:rFonts w:ascii="Times New Roman" w:hAnsi="Times New Roman"/>
        </w:rPr>
        <w:footnoteRef/>
      </w:r>
      <w:r w:rsidRPr="008C3057">
        <w:rPr>
          <w:rFonts w:ascii="Times New Roman" w:hAnsi="Times New Roman"/>
        </w:rPr>
        <w:t xml:space="preserve"> J.E.P.A. van Hooff, Aansprakelijkheid voor het bo</w:t>
      </w:r>
      <w:r>
        <w:rPr>
          <w:rFonts w:ascii="Times New Roman" w:hAnsi="Times New Roman"/>
        </w:rPr>
        <w:t>edeltekort en de publicat</w:t>
      </w:r>
      <w:r w:rsidRPr="008C3057">
        <w:rPr>
          <w:rFonts w:ascii="Times New Roman" w:hAnsi="Times New Roman"/>
        </w:rPr>
        <w:t xml:space="preserve">ieplicht: wat is te laat deponeren?, </w:t>
      </w:r>
      <w:r w:rsidRPr="00DF63BB">
        <w:rPr>
          <w:rFonts w:ascii="Times New Roman" w:hAnsi="Times New Roman"/>
        </w:rPr>
        <w:t>MvO</w:t>
      </w:r>
      <w:r w:rsidRPr="008C3057">
        <w:rPr>
          <w:rFonts w:ascii="Times New Roman" w:hAnsi="Times New Roman"/>
        </w:rPr>
        <w:t xml:space="preserve"> 2015, afl. 1/2, p. 29-34.</w:t>
      </w:r>
    </w:p>
  </w:footnote>
  <w:footnote w:id="2">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Zie de door Van Hooff </w:t>
      </w:r>
      <w:r>
        <w:rPr>
          <w:rFonts w:ascii="Times New Roman" w:hAnsi="Times New Roman"/>
        </w:rPr>
        <w:t xml:space="preserve">2015 </w:t>
      </w:r>
      <w:r w:rsidRPr="0052631D">
        <w:rPr>
          <w:rFonts w:ascii="Times New Roman" w:hAnsi="Times New Roman"/>
        </w:rPr>
        <w:t>aangehaalde literatuur.</w:t>
      </w:r>
    </w:p>
  </w:footnote>
  <w:footnote w:id="3">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sidRPr="00920D28">
        <w:rPr>
          <w:rFonts w:ascii="Times New Roman" w:hAnsi="Times New Roman"/>
        </w:rPr>
        <w:t>Kamerstukken</w:t>
      </w:r>
      <w:r w:rsidRPr="0052631D">
        <w:rPr>
          <w:rFonts w:ascii="Times New Roman" w:hAnsi="Times New Roman"/>
        </w:rPr>
        <w:t xml:space="preserve"> 33771, </w:t>
      </w:r>
      <w:r w:rsidRPr="00DF63BB">
        <w:rPr>
          <w:rFonts w:ascii="Times New Roman" w:hAnsi="Times New Roman"/>
        </w:rPr>
        <w:t>Stb.</w:t>
      </w:r>
      <w:r w:rsidRPr="0052631D">
        <w:rPr>
          <w:rFonts w:ascii="Times New Roman" w:hAnsi="Times New Roman"/>
        </w:rPr>
        <w:t xml:space="preserve"> 2014, 540 (publicatie wet)</w:t>
      </w:r>
      <w:r>
        <w:rPr>
          <w:rFonts w:ascii="Times New Roman" w:hAnsi="Times New Roman"/>
        </w:rPr>
        <w:t xml:space="preserve"> en</w:t>
      </w:r>
      <w:r w:rsidRPr="0052631D">
        <w:rPr>
          <w:rFonts w:ascii="Times New Roman" w:hAnsi="Times New Roman"/>
        </w:rPr>
        <w:t xml:space="preserve"> 541 (gedeeltelijke inwerkingtreding) en </w:t>
      </w:r>
      <w:r w:rsidRPr="00DF63BB">
        <w:rPr>
          <w:rFonts w:ascii="Times New Roman" w:hAnsi="Times New Roman"/>
        </w:rPr>
        <w:t>Stb.</w:t>
      </w:r>
      <w:r w:rsidRPr="00712A08">
        <w:rPr>
          <w:rFonts w:ascii="Times New Roman" w:hAnsi="Times New Roman"/>
        </w:rPr>
        <w:t xml:space="preserve"> </w:t>
      </w:r>
      <w:r w:rsidRPr="0052631D">
        <w:rPr>
          <w:rFonts w:ascii="Times New Roman" w:hAnsi="Times New Roman"/>
        </w:rPr>
        <w:t>2015, 247 (gedeeltelijke inwerkingtreding).</w:t>
      </w:r>
    </w:p>
  </w:footnote>
  <w:footnote w:id="4">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sidRPr="00DF63BB">
        <w:rPr>
          <w:rFonts w:ascii="Times New Roman" w:hAnsi="Times New Roman"/>
        </w:rPr>
        <w:t>Kamerstukken</w:t>
      </w:r>
      <w:r w:rsidRPr="0052631D">
        <w:rPr>
          <w:rFonts w:ascii="Times New Roman" w:hAnsi="Times New Roman"/>
        </w:rPr>
        <w:t xml:space="preserve"> 34176, </w:t>
      </w:r>
      <w:r w:rsidRPr="00DF63BB">
        <w:rPr>
          <w:rFonts w:ascii="Times New Roman" w:hAnsi="Times New Roman"/>
        </w:rPr>
        <w:t>Stb.</w:t>
      </w:r>
      <w:r w:rsidRPr="0052631D">
        <w:rPr>
          <w:rFonts w:ascii="Times New Roman" w:hAnsi="Times New Roman"/>
        </w:rPr>
        <w:t xml:space="preserve"> 2015, 349 (publicatie wet) en 351 (inwerkingtreding per 1 november 2015).</w:t>
      </w:r>
    </w:p>
  </w:footnote>
  <w:footnote w:id="5">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Art. 2:210 lid 1 en 2 BW.</w:t>
      </w:r>
    </w:p>
  </w:footnote>
  <w:footnote w:id="6">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Art. 2:210 lid 3 t</w:t>
      </w:r>
      <w:r>
        <w:rPr>
          <w:rFonts w:ascii="Times New Roman" w:hAnsi="Times New Roman"/>
        </w:rPr>
        <w:t>/m</w:t>
      </w:r>
      <w:r w:rsidRPr="0052631D">
        <w:rPr>
          <w:rFonts w:ascii="Times New Roman" w:hAnsi="Times New Roman"/>
        </w:rPr>
        <w:t xml:space="preserve"> 7 BW.</w:t>
      </w:r>
    </w:p>
  </w:footnote>
  <w:footnote w:id="7">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Art. 2:394 lid 1 t</w:t>
      </w:r>
      <w:r>
        <w:rPr>
          <w:rFonts w:ascii="Times New Roman" w:hAnsi="Times New Roman"/>
        </w:rPr>
        <w:t>/m</w:t>
      </w:r>
      <w:r w:rsidRPr="0052631D">
        <w:rPr>
          <w:rFonts w:ascii="Times New Roman" w:hAnsi="Times New Roman"/>
        </w:rPr>
        <w:t xml:space="preserve"> 3 BW.</w:t>
      </w:r>
    </w:p>
  </w:footnote>
  <w:footnote w:id="8">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Pr>
          <w:rFonts w:ascii="Times New Roman" w:hAnsi="Times New Roman"/>
        </w:rPr>
        <w:t>V</w:t>
      </w:r>
      <w:r w:rsidRPr="0052631D">
        <w:rPr>
          <w:rFonts w:ascii="Times New Roman" w:hAnsi="Times New Roman"/>
        </w:rPr>
        <w:t>an Hooff 2015, p. 32.</w:t>
      </w:r>
    </w:p>
  </w:footnote>
  <w:footnote w:id="9">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HR 11 juni 1993, </w:t>
      </w:r>
      <w:r w:rsidRPr="00DF63BB">
        <w:rPr>
          <w:rFonts w:ascii="Times New Roman" w:hAnsi="Times New Roman"/>
        </w:rPr>
        <w:t>NJ</w:t>
      </w:r>
      <w:r w:rsidRPr="0052631D">
        <w:rPr>
          <w:rFonts w:ascii="Times New Roman" w:hAnsi="Times New Roman"/>
        </w:rPr>
        <w:t xml:space="preserve"> 1993</w:t>
      </w:r>
      <w:r>
        <w:rPr>
          <w:rFonts w:ascii="Times New Roman" w:hAnsi="Times New Roman"/>
        </w:rPr>
        <w:t>/</w:t>
      </w:r>
      <w:r w:rsidRPr="0052631D">
        <w:rPr>
          <w:rFonts w:ascii="Times New Roman" w:hAnsi="Times New Roman"/>
        </w:rPr>
        <w:t>713 m.nt. Ma (Brens q.q./Sarper).</w:t>
      </w:r>
    </w:p>
  </w:footnote>
  <w:footnote w:id="10">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Zie ook </w:t>
      </w:r>
      <w:r>
        <w:rPr>
          <w:rFonts w:ascii="Times New Roman" w:hAnsi="Times New Roman"/>
        </w:rPr>
        <w:t>Van der Heijden &amp; Van der Grinten/</w:t>
      </w:r>
      <w:r w:rsidRPr="0052631D">
        <w:rPr>
          <w:rFonts w:ascii="Times New Roman" w:hAnsi="Times New Roman"/>
        </w:rPr>
        <w:t xml:space="preserve">Dortmond, </w:t>
      </w:r>
      <w:r w:rsidRPr="00920D28">
        <w:rPr>
          <w:rFonts w:ascii="Times New Roman" w:hAnsi="Times New Roman"/>
          <w:i/>
        </w:rPr>
        <w:t>Handboek voor de Naamloze en de Besloten Vennootschap</w:t>
      </w:r>
      <w:r>
        <w:rPr>
          <w:rFonts w:ascii="Times New Roman" w:hAnsi="Times New Roman"/>
        </w:rPr>
        <w:t xml:space="preserve">, Deventer: Kluwer </w:t>
      </w:r>
      <w:r w:rsidRPr="0052631D">
        <w:rPr>
          <w:rFonts w:ascii="Times New Roman" w:hAnsi="Times New Roman"/>
        </w:rPr>
        <w:t>2013, nr. 330.1, p. 723.</w:t>
      </w:r>
    </w:p>
  </w:footnote>
  <w:footnote w:id="11">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Pr>
          <w:rFonts w:ascii="Times New Roman" w:hAnsi="Times New Roman"/>
        </w:rPr>
        <w:t xml:space="preserve">Van Hooff 2015, </w:t>
      </w:r>
      <w:r w:rsidRPr="0052631D">
        <w:rPr>
          <w:rFonts w:ascii="Times New Roman" w:hAnsi="Times New Roman"/>
        </w:rPr>
        <w:t>p. 33, r.k.</w:t>
      </w:r>
    </w:p>
  </w:footnote>
  <w:footnote w:id="12">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sidRPr="00DF63BB">
        <w:rPr>
          <w:rFonts w:ascii="Times New Roman" w:hAnsi="Times New Roman"/>
        </w:rPr>
        <w:t>Kamerstukken II</w:t>
      </w:r>
      <w:r w:rsidRPr="0052631D">
        <w:rPr>
          <w:rFonts w:ascii="Times New Roman" w:hAnsi="Times New Roman"/>
        </w:rPr>
        <w:t xml:space="preserve"> 2014/15, 34176, 3, p. 34 (MvT).</w:t>
      </w:r>
    </w:p>
  </w:footnote>
  <w:footnote w:id="13">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Daarbij wordt ervan uitgegaan dat de vaststelling binnen de uiterste publicatietermijn van dertien maanden van art. 2:394 lid 3 BW plaatsvindt.</w:t>
      </w:r>
    </w:p>
  </w:footnote>
  <w:footnote w:id="14">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sidRPr="00DF63BB">
        <w:rPr>
          <w:rFonts w:ascii="Times New Roman" w:hAnsi="Times New Roman"/>
        </w:rPr>
        <w:t>Kamerstukken II</w:t>
      </w:r>
      <w:r w:rsidRPr="0052631D">
        <w:rPr>
          <w:rFonts w:ascii="Times New Roman" w:hAnsi="Times New Roman"/>
        </w:rPr>
        <w:t xml:space="preserve"> 2013/14, 33771, 3, p. 6 (MvT).</w:t>
      </w:r>
    </w:p>
  </w:footnote>
  <w:footnote w:id="15">
    <w:p w:rsidR="00E3205B" w:rsidRPr="0052631D" w:rsidRDefault="00E3205B" w:rsidP="00E3205B">
      <w:pPr>
        <w:spacing w:after="0" w:line="240" w:lineRule="auto"/>
        <w:outlineLvl w:val="0"/>
        <w:rPr>
          <w:rFonts w:ascii="Times New Roman" w:eastAsia="Times New Roman" w:hAnsi="Times New Roman" w:cs="Times New Roman"/>
          <w:sz w:val="20"/>
          <w:szCs w:val="20"/>
        </w:rPr>
      </w:pPr>
      <w:r w:rsidRPr="0052631D">
        <w:rPr>
          <w:rStyle w:val="Voetnootmarkering"/>
          <w:rFonts w:ascii="Times New Roman" w:hAnsi="Times New Roman" w:cs="Times New Roman"/>
          <w:sz w:val="20"/>
          <w:szCs w:val="20"/>
        </w:rPr>
        <w:footnoteRef/>
      </w:r>
      <w:r w:rsidRPr="0052631D">
        <w:rPr>
          <w:rFonts w:ascii="Times New Roman" w:hAnsi="Times New Roman" w:cs="Times New Roman"/>
          <w:sz w:val="20"/>
          <w:szCs w:val="20"/>
        </w:rPr>
        <w:t xml:space="preserve"> </w:t>
      </w:r>
      <w:r w:rsidRPr="0052631D">
        <w:rPr>
          <w:rFonts w:ascii="Times New Roman" w:eastAsia="Times New Roman" w:hAnsi="Times New Roman" w:cs="Times New Roman"/>
          <w:sz w:val="20"/>
          <w:szCs w:val="20"/>
          <w:shd w:val="clear" w:color="auto" w:fill="FFFFFF"/>
        </w:rPr>
        <w:t xml:space="preserve">Wijziging van de Handelsregisterwet 2007, het Burgerlijk Wetboek en de Wet op de formeel buitenlandse vennootschappen in verband met deponering van bescheiden in het handelsregister langs elektronische weg, </w:t>
      </w:r>
      <w:r w:rsidRPr="00DF63BB">
        <w:rPr>
          <w:rFonts w:ascii="Times New Roman" w:hAnsi="Times New Roman" w:cs="Times New Roman"/>
          <w:sz w:val="20"/>
          <w:szCs w:val="20"/>
        </w:rPr>
        <w:t>Kamerstukken</w:t>
      </w:r>
      <w:r w:rsidRPr="0052631D">
        <w:rPr>
          <w:rFonts w:ascii="Times New Roman" w:hAnsi="Times New Roman" w:cs="Times New Roman"/>
          <w:sz w:val="20"/>
          <w:szCs w:val="20"/>
        </w:rPr>
        <w:t xml:space="preserve"> 34262, </w:t>
      </w:r>
      <w:r w:rsidRPr="00DF63BB">
        <w:rPr>
          <w:rFonts w:ascii="Times New Roman" w:hAnsi="Times New Roman" w:cs="Times New Roman"/>
          <w:sz w:val="20"/>
          <w:szCs w:val="20"/>
        </w:rPr>
        <w:t>Stb.</w:t>
      </w:r>
      <w:r w:rsidRPr="0052631D">
        <w:rPr>
          <w:rFonts w:ascii="Times New Roman" w:hAnsi="Times New Roman" w:cs="Times New Roman"/>
          <w:sz w:val="20"/>
          <w:szCs w:val="20"/>
        </w:rPr>
        <w:t xml:space="preserve"> 2015, 505.</w:t>
      </w:r>
    </w:p>
  </w:footnote>
  <w:footnote w:id="16">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Op 8 december 2015 heeft de Eerste Kamer het wetsvoorstel als hamerstuk afgedaan.</w:t>
      </w:r>
    </w:p>
  </w:footnote>
  <w:footnote w:id="17">
    <w:p w:rsidR="00E3205B" w:rsidRPr="0052631D" w:rsidRDefault="00E3205B" w:rsidP="00E3205B">
      <w:pPr>
        <w:spacing w:after="0" w:line="240" w:lineRule="auto"/>
        <w:outlineLvl w:val="0"/>
        <w:rPr>
          <w:rFonts w:ascii="Times New Roman" w:hAnsi="Times New Roman" w:cs="Times New Roman"/>
          <w:sz w:val="20"/>
          <w:szCs w:val="20"/>
        </w:rPr>
      </w:pPr>
      <w:r w:rsidRPr="0052631D">
        <w:rPr>
          <w:rStyle w:val="Voetnootmarkering"/>
          <w:rFonts w:ascii="Times New Roman" w:hAnsi="Times New Roman" w:cs="Times New Roman"/>
          <w:sz w:val="20"/>
          <w:szCs w:val="20"/>
        </w:rPr>
        <w:footnoteRef/>
      </w:r>
      <w:r w:rsidRPr="0052631D">
        <w:rPr>
          <w:rFonts w:ascii="Times New Roman" w:hAnsi="Times New Roman" w:cs="Times New Roman"/>
          <w:sz w:val="20"/>
          <w:szCs w:val="20"/>
        </w:rPr>
        <w:t xml:space="preserve"> HR 20 oktober 2006, ECLI:NL:HR:2006:AY7916, </w:t>
      </w:r>
      <w:r w:rsidRPr="00DF63BB">
        <w:rPr>
          <w:rFonts w:ascii="Times New Roman" w:hAnsi="Times New Roman" w:cs="Times New Roman"/>
          <w:sz w:val="20"/>
          <w:szCs w:val="20"/>
        </w:rPr>
        <w:t>NJ</w:t>
      </w:r>
      <w:r w:rsidRPr="0052631D">
        <w:rPr>
          <w:rFonts w:ascii="Times New Roman" w:hAnsi="Times New Roman" w:cs="Times New Roman"/>
          <w:sz w:val="20"/>
          <w:szCs w:val="20"/>
        </w:rPr>
        <w:t xml:space="preserve"> 2007</w:t>
      </w:r>
      <w:r>
        <w:rPr>
          <w:rFonts w:ascii="Times New Roman" w:hAnsi="Times New Roman" w:cs="Times New Roman"/>
          <w:sz w:val="20"/>
          <w:szCs w:val="20"/>
        </w:rPr>
        <w:t>/</w:t>
      </w:r>
      <w:r w:rsidRPr="0052631D">
        <w:rPr>
          <w:rFonts w:ascii="Times New Roman" w:hAnsi="Times New Roman" w:cs="Times New Roman"/>
          <w:sz w:val="20"/>
          <w:szCs w:val="20"/>
        </w:rPr>
        <w:t>2 m.nt. Ma, r.o. 4.4.1.</w:t>
      </w:r>
    </w:p>
  </w:footnote>
  <w:footnote w:id="18">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Pr>
          <w:rFonts w:ascii="Times New Roman" w:hAnsi="Times New Roman"/>
        </w:rPr>
        <w:t xml:space="preserve">Van Hooff 2015, </w:t>
      </w:r>
      <w:r w:rsidRPr="0052631D">
        <w:rPr>
          <w:rFonts w:ascii="Times New Roman" w:hAnsi="Times New Roman"/>
        </w:rPr>
        <w:t xml:space="preserve">p. 32. In zijn conclusie </w:t>
      </w:r>
      <w:r>
        <w:rPr>
          <w:rFonts w:ascii="Times New Roman" w:hAnsi="Times New Roman"/>
        </w:rPr>
        <w:t>in par.</w:t>
      </w:r>
      <w:r w:rsidRPr="0052631D">
        <w:rPr>
          <w:rFonts w:ascii="Times New Roman" w:hAnsi="Times New Roman"/>
        </w:rPr>
        <w:t xml:space="preserve"> 3 op p. 34 formuleert Van Hooff het zuiverder.</w:t>
      </w:r>
    </w:p>
  </w:footnote>
  <w:footnote w:id="19">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C2434E">
        <w:rPr>
          <w:rFonts w:ascii="Times New Roman" w:hAnsi="Times New Roman"/>
          <w:lang w:val="en-US"/>
        </w:rPr>
        <w:t xml:space="preserve"> HR 30 november 2007, NJ 2008/91 m.nt. Ma (Blue Tomato). </w:t>
      </w:r>
      <w:r w:rsidRPr="0052631D">
        <w:rPr>
          <w:rFonts w:ascii="Times New Roman" w:hAnsi="Times New Roman"/>
        </w:rPr>
        <w:t>Zie ook Asser/Maeijer &amp; Kroeze 2-I* 2015/570 onder c.</w:t>
      </w:r>
    </w:p>
  </w:footnote>
  <w:footnote w:id="20">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C.A. Schwarz &amp; R.A. Wolf, De vereenvoudigde vastgestelde jaarrekening. De gemiste kans van (het voorstel van) de Verzamelwet Veiligheid en Justitie 2013, </w:t>
      </w:r>
      <w:r w:rsidRPr="00DF63BB">
        <w:rPr>
          <w:rFonts w:ascii="Times New Roman" w:hAnsi="Times New Roman"/>
        </w:rPr>
        <w:t>TvOB</w:t>
      </w:r>
      <w:r w:rsidRPr="0052631D">
        <w:rPr>
          <w:rFonts w:ascii="Times New Roman" w:hAnsi="Times New Roman"/>
        </w:rPr>
        <w:t xml:space="preserve"> 2014</w:t>
      </w:r>
      <w:r>
        <w:rPr>
          <w:rFonts w:ascii="Times New Roman" w:hAnsi="Times New Roman"/>
        </w:rPr>
        <w:t xml:space="preserve">, afl. </w:t>
      </w:r>
      <w:r w:rsidRPr="0052631D">
        <w:rPr>
          <w:rFonts w:ascii="Times New Roman" w:hAnsi="Times New Roman"/>
        </w:rPr>
        <w:t>1, p. 27-28.</w:t>
      </w:r>
    </w:p>
  </w:footnote>
  <w:footnote w:id="21">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HR 11 juni 1993, </w:t>
      </w:r>
      <w:r w:rsidRPr="00DF63BB">
        <w:rPr>
          <w:rFonts w:ascii="Times New Roman" w:hAnsi="Times New Roman"/>
        </w:rPr>
        <w:t>NJ</w:t>
      </w:r>
      <w:r w:rsidRPr="0052631D">
        <w:rPr>
          <w:rFonts w:ascii="Times New Roman" w:hAnsi="Times New Roman"/>
        </w:rPr>
        <w:t xml:space="preserve"> 1993</w:t>
      </w:r>
      <w:r>
        <w:rPr>
          <w:rFonts w:ascii="Times New Roman" w:hAnsi="Times New Roman"/>
        </w:rPr>
        <w:t>/</w:t>
      </w:r>
      <w:r w:rsidRPr="0052631D">
        <w:rPr>
          <w:rFonts w:ascii="Times New Roman" w:hAnsi="Times New Roman"/>
        </w:rPr>
        <w:t>713 m.nt. Ma (Brens q.q./Sarper).</w:t>
      </w:r>
    </w:p>
  </w:footnote>
  <w:footnote w:id="22">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Asser/Maeijer &amp; Kroeze 2-I* 2015/569; H. Beckman, Depot van de jaarrekening en andere daarmee verband houdende jaarrekeningperikelen, </w:t>
      </w:r>
      <w:r w:rsidRPr="00DF63BB">
        <w:rPr>
          <w:rFonts w:ascii="Times New Roman" w:hAnsi="Times New Roman"/>
        </w:rPr>
        <w:t>Ondernemingsrecht</w:t>
      </w:r>
      <w:r w:rsidRPr="0052631D">
        <w:rPr>
          <w:rFonts w:ascii="Times New Roman" w:hAnsi="Times New Roman"/>
        </w:rPr>
        <w:t xml:space="preserve"> 2013/59; H. Beckman, </w:t>
      </w:r>
      <w:r w:rsidRPr="00DF63BB">
        <w:rPr>
          <w:rFonts w:ascii="Times New Roman" w:hAnsi="Times New Roman"/>
        </w:rPr>
        <w:t>Hoofdlijnen van het jaarrekeningenrecht in Nederland</w:t>
      </w:r>
      <w:r w:rsidRPr="0052631D">
        <w:rPr>
          <w:rFonts w:ascii="Times New Roman" w:hAnsi="Times New Roman"/>
        </w:rPr>
        <w:t>, Deventer: Kluwer 2013, p. 684; H. Beckman</w:t>
      </w:r>
      <w:r>
        <w:rPr>
          <w:rFonts w:ascii="Times New Roman" w:hAnsi="Times New Roman"/>
        </w:rPr>
        <w:t xml:space="preserve"> e.a.</w:t>
      </w:r>
      <w:r w:rsidRPr="0052631D">
        <w:rPr>
          <w:rFonts w:ascii="Times New Roman" w:hAnsi="Times New Roman"/>
        </w:rPr>
        <w:t xml:space="preserve">, </w:t>
      </w:r>
      <w:r w:rsidRPr="00DF63BB">
        <w:rPr>
          <w:rFonts w:ascii="Times New Roman" w:hAnsi="Times New Roman"/>
        </w:rPr>
        <w:t>Sdu Commentaar Ondernemingsrecht</w:t>
      </w:r>
      <w:r w:rsidRPr="0052631D">
        <w:rPr>
          <w:rFonts w:ascii="Times New Roman" w:hAnsi="Times New Roman"/>
        </w:rPr>
        <w:t xml:space="preserve">, </w:t>
      </w:r>
      <w:r>
        <w:rPr>
          <w:rFonts w:ascii="Times New Roman" w:hAnsi="Times New Roman"/>
        </w:rPr>
        <w:t xml:space="preserve">Den Haag: Sdu Uitgevers 2015, </w:t>
      </w:r>
      <w:r w:rsidRPr="0052631D">
        <w:rPr>
          <w:rFonts w:ascii="Times New Roman" w:hAnsi="Times New Roman"/>
        </w:rPr>
        <w:t>art. 2:394 BW, aant. C1, laatste alinea (bijgewerkt tot 2 april 2015).</w:t>
      </w:r>
    </w:p>
  </w:footnote>
  <w:footnote w:id="23">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Van Hooff 2015, p. 30-33 en de aldaar in de noten genoemde literatuur.</w:t>
      </w:r>
    </w:p>
  </w:footnote>
  <w:footnote w:id="24">
    <w:p w:rsidR="00E3205B" w:rsidRPr="0052631D" w:rsidRDefault="00E3205B" w:rsidP="00E3205B">
      <w:pPr>
        <w:pStyle w:val="Voetnoottekst"/>
        <w:outlineLvl w:val="0"/>
        <w:rPr>
          <w:rFonts w:ascii="Times New Roman" w:hAnsi="Times New Roman"/>
          <w:caps/>
        </w:rPr>
      </w:pPr>
      <w:r w:rsidRPr="0052631D">
        <w:rPr>
          <w:rStyle w:val="Voetnootmarkering"/>
          <w:rFonts w:ascii="Times New Roman" w:hAnsi="Times New Roman"/>
        </w:rPr>
        <w:footnoteRef/>
      </w:r>
      <w:r w:rsidRPr="0052631D">
        <w:rPr>
          <w:rFonts w:ascii="Times New Roman" w:hAnsi="Times New Roman"/>
        </w:rPr>
        <w:t xml:space="preserve"> </w:t>
      </w:r>
      <w:r w:rsidRPr="00DF63BB">
        <w:rPr>
          <w:rFonts w:ascii="Times New Roman" w:hAnsi="Times New Roman"/>
        </w:rPr>
        <w:t>Kamerstukken II</w:t>
      </w:r>
      <w:r w:rsidRPr="0052631D">
        <w:rPr>
          <w:rFonts w:ascii="Times New Roman" w:hAnsi="Times New Roman"/>
        </w:rPr>
        <w:t xml:space="preserve"> 1987/88, 20556, 3, p. 5 (MvT).</w:t>
      </w:r>
    </w:p>
  </w:footnote>
  <w:footnote w:id="25">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Schwarz &amp; Wolf 201</w:t>
      </w:r>
      <w:r>
        <w:rPr>
          <w:rFonts w:ascii="Times New Roman" w:hAnsi="Times New Roman"/>
        </w:rPr>
        <w:t>4</w:t>
      </w:r>
      <w:r w:rsidRPr="0052631D">
        <w:rPr>
          <w:rFonts w:ascii="Times New Roman" w:hAnsi="Times New Roman"/>
        </w:rPr>
        <w:t>, p. 27-28.</w:t>
      </w:r>
    </w:p>
  </w:footnote>
  <w:footnote w:id="26">
    <w:p w:rsidR="00E3205B" w:rsidRPr="0052631D" w:rsidRDefault="00E3205B" w:rsidP="00E3205B">
      <w:pPr>
        <w:pStyle w:val="Voetnoottekst"/>
        <w:outlineLvl w:val="0"/>
        <w:rPr>
          <w:rFonts w:ascii="Times New Roman" w:hAnsi="Times New Roman"/>
          <w:caps/>
        </w:rPr>
      </w:pPr>
      <w:r w:rsidRPr="0052631D">
        <w:rPr>
          <w:rStyle w:val="Voetnootmarkering"/>
          <w:rFonts w:ascii="Times New Roman" w:hAnsi="Times New Roman"/>
        </w:rPr>
        <w:footnoteRef/>
      </w:r>
      <w:r w:rsidRPr="0052631D">
        <w:rPr>
          <w:rFonts w:ascii="Times New Roman" w:hAnsi="Times New Roman"/>
        </w:rPr>
        <w:t xml:space="preserve"> </w:t>
      </w:r>
      <w:r w:rsidRPr="00DF63BB">
        <w:rPr>
          <w:rFonts w:ascii="Times New Roman" w:hAnsi="Times New Roman"/>
        </w:rPr>
        <w:t>Kamerstukken II</w:t>
      </w:r>
      <w:r w:rsidRPr="0052631D">
        <w:rPr>
          <w:rFonts w:ascii="Times New Roman" w:hAnsi="Times New Roman"/>
        </w:rPr>
        <w:t xml:space="preserve"> 1983/84, 16631, 6, p. 18, 22 en 27 (MvA).</w:t>
      </w:r>
    </w:p>
  </w:footnote>
  <w:footnote w:id="27">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w:t>
      </w:r>
      <w:r w:rsidRPr="00DF63BB">
        <w:rPr>
          <w:rFonts w:ascii="Times New Roman" w:hAnsi="Times New Roman"/>
        </w:rPr>
        <w:t>Kamerstukken II</w:t>
      </w:r>
      <w:r w:rsidRPr="0052631D">
        <w:rPr>
          <w:rFonts w:ascii="Times New Roman" w:hAnsi="Times New Roman"/>
        </w:rPr>
        <w:t xml:space="preserve"> 2013/14, 33771, 3, p. 6 (MvT).</w:t>
      </w:r>
    </w:p>
  </w:footnote>
  <w:footnote w:id="28">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HR 1 november 2013, ECLI:NL:HR:2013:1079, </w:t>
      </w:r>
      <w:r w:rsidRPr="00DF63BB">
        <w:rPr>
          <w:rFonts w:ascii="Times New Roman" w:hAnsi="Times New Roman"/>
        </w:rPr>
        <w:t>NJ</w:t>
      </w:r>
      <w:r w:rsidRPr="0052631D">
        <w:rPr>
          <w:rFonts w:ascii="Times New Roman" w:hAnsi="Times New Roman"/>
        </w:rPr>
        <w:t xml:space="preserve"> 2014</w:t>
      </w:r>
      <w:r>
        <w:rPr>
          <w:rFonts w:ascii="Times New Roman" w:hAnsi="Times New Roman"/>
        </w:rPr>
        <w:t>/</w:t>
      </w:r>
      <w:r w:rsidRPr="0052631D">
        <w:rPr>
          <w:rFonts w:ascii="Times New Roman" w:hAnsi="Times New Roman"/>
        </w:rPr>
        <w:t xml:space="preserve">7 m.nt. P. van Schilfgaarde (Verify), r.o. 3.6.2 en 3.6.4. Zie ook HR 12 juli 2013, ECLI:NL:HR:2013:BZ7189, </w:t>
      </w:r>
      <w:r w:rsidRPr="00DF63BB">
        <w:rPr>
          <w:rFonts w:ascii="Times New Roman" w:hAnsi="Times New Roman"/>
        </w:rPr>
        <w:t>NJ</w:t>
      </w:r>
      <w:r w:rsidRPr="0052631D">
        <w:rPr>
          <w:rFonts w:ascii="Times New Roman" w:hAnsi="Times New Roman"/>
        </w:rPr>
        <w:t xml:space="preserve"> 2013</w:t>
      </w:r>
      <w:r>
        <w:rPr>
          <w:rFonts w:ascii="Times New Roman" w:hAnsi="Times New Roman"/>
        </w:rPr>
        <w:t>/</w:t>
      </w:r>
      <w:r w:rsidRPr="0052631D">
        <w:rPr>
          <w:rFonts w:ascii="Times New Roman" w:hAnsi="Times New Roman"/>
        </w:rPr>
        <w:t>401 (Apeldoornse Asbestsanering).</w:t>
      </w:r>
    </w:p>
  </w:footnote>
  <w:footnote w:id="29">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Vgl. HR 29 mei 2015, ECLI:NL:HR:2015:1406, </w:t>
      </w:r>
      <w:r w:rsidRPr="00DF63BB">
        <w:rPr>
          <w:rFonts w:ascii="Times New Roman" w:hAnsi="Times New Roman"/>
        </w:rPr>
        <w:t>NJ</w:t>
      </w:r>
      <w:r w:rsidRPr="0052631D">
        <w:rPr>
          <w:rFonts w:ascii="Times New Roman" w:hAnsi="Times New Roman"/>
        </w:rPr>
        <w:t xml:space="preserve"> 2015</w:t>
      </w:r>
      <w:r>
        <w:rPr>
          <w:rFonts w:ascii="Times New Roman" w:hAnsi="Times New Roman"/>
        </w:rPr>
        <w:t>/</w:t>
      </w:r>
      <w:r w:rsidRPr="0052631D">
        <w:rPr>
          <w:rFonts w:ascii="Times New Roman" w:hAnsi="Times New Roman"/>
        </w:rPr>
        <w:t>267.</w:t>
      </w:r>
    </w:p>
  </w:footnote>
  <w:footnote w:id="30">
    <w:p w:rsidR="00E3205B" w:rsidRPr="0052631D" w:rsidRDefault="00E3205B" w:rsidP="00E3205B">
      <w:pPr>
        <w:pStyle w:val="Voetnoottekst"/>
        <w:outlineLvl w:val="0"/>
        <w:rPr>
          <w:rFonts w:ascii="Times New Roman" w:hAnsi="Times New Roman"/>
        </w:rPr>
      </w:pPr>
      <w:r w:rsidRPr="0052631D">
        <w:rPr>
          <w:rStyle w:val="Voetnootmarkering"/>
          <w:rFonts w:ascii="Times New Roman" w:hAnsi="Times New Roman"/>
        </w:rPr>
        <w:footnoteRef/>
      </w:r>
      <w:r w:rsidRPr="0052631D">
        <w:rPr>
          <w:rFonts w:ascii="Times New Roman" w:hAnsi="Times New Roman"/>
        </w:rPr>
        <w:t xml:space="preserve"> Schwarz &amp; Wolf 201</w:t>
      </w:r>
      <w:r>
        <w:rPr>
          <w:rFonts w:ascii="Times New Roman" w:hAnsi="Times New Roman"/>
        </w:rPr>
        <w:t>4</w:t>
      </w:r>
      <w:r w:rsidRPr="0052631D">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5B"/>
    <w:rsid w:val="00272383"/>
    <w:rsid w:val="002A00FF"/>
    <w:rsid w:val="00380B19"/>
    <w:rsid w:val="00623E70"/>
    <w:rsid w:val="00795BFD"/>
    <w:rsid w:val="008A1A12"/>
    <w:rsid w:val="00920D28"/>
    <w:rsid w:val="00944A52"/>
    <w:rsid w:val="009758F9"/>
    <w:rsid w:val="00B46DFD"/>
    <w:rsid w:val="00C2434E"/>
    <w:rsid w:val="00D6334E"/>
    <w:rsid w:val="00DF63BB"/>
    <w:rsid w:val="00E00D0D"/>
    <w:rsid w:val="00E3205B"/>
    <w:rsid w:val="00F82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29373-9FB1-4FE9-A240-BFE2F5BB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A1A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3205B"/>
    <w:pPr>
      <w:tabs>
        <w:tab w:val="center" w:pos="4536"/>
        <w:tab w:val="right" w:pos="9072"/>
      </w:tabs>
      <w:spacing w:after="0" w:line="360" w:lineRule="auto"/>
    </w:pPr>
    <w:rPr>
      <w:rFonts w:ascii="Arial" w:eastAsia="Times New Roman" w:hAnsi="Arial" w:cs="Times New Roman"/>
      <w:sz w:val="20"/>
      <w:szCs w:val="24"/>
      <w:lang w:eastAsia="nl-NL" w:bidi="ar-SA"/>
    </w:rPr>
  </w:style>
  <w:style w:type="character" w:customStyle="1" w:styleId="VoettekstChar">
    <w:name w:val="Voettekst Char"/>
    <w:basedOn w:val="Standaardalinea-lettertype"/>
    <w:link w:val="Voettekst"/>
    <w:rsid w:val="00E3205B"/>
    <w:rPr>
      <w:rFonts w:ascii="Arial" w:eastAsia="Times New Roman" w:hAnsi="Arial" w:cs="Times New Roman"/>
      <w:sz w:val="20"/>
      <w:szCs w:val="24"/>
      <w:lang w:eastAsia="nl-NL" w:bidi="ar-SA"/>
    </w:rPr>
  </w:style>
  <w:style w:type="character" w:styleId="Paginanummer">
    <w:name w:val="page number"/>
    <w:basedOn w:val="Standaardalinea-lettertype"/>
    <w:rsid w:val="00E3205B"/>
  </w:style>
  <w:style w:type="paragraph" w:styleId="Voetnoottekst">
    <w:name w:val="footnote text"/>
    <w:aliases w:val="Tekst przypisu,Fußnotentext Char1,Fußnotentext Char Char,Fußnotentext Char1 Char Char,Fußnotentext Char Char Char Char,Fußnotentext Char1 Char Char Char Char,Fußnotentext Char Char Char Char Char Char,fn,footnote text,RSC_WP (footnotes)"/>
    <w:basedOn w:val="Standaard"/>
    <w:link w:val="VoetnoottekstChar"/>
    <w:uiPriority w:val="99"/>
    <w:unhideWhenUsed/>
    <w:rsid w:val="00E3205B"/>
    <w:pPr>
      <w:spacing w:after="0" w:line="240" w:lineRule="auto"/>
    </w:pPr>
    <w:rPr>
      <w:rFonts w:ascii="Calibri" w:eastAsia="Calibri" w:hAnsi="Calibri" w:cs="Times New Roman"/>
      <w:sz w:val="20"/>
      <w:szCs w:val="20"/>
    </w:rPr>
  </w:style>
  <w:style w:type="character" w:customStyle="1" w:styleId="VoetnoottekstChar">
    <w:name w:val="Voetnoottekst Char"/>
    <w:aliases w:val="Tekst przypisu Char,Fußnotentext Char1 Char,Fußnotentext Char Char Char,Fußnotentext Char1 Char Char Char,Fußnotentext Char Char Char Char Char,Fußnotentext Char1 Char Char Char Char Char,fn Char,footnote text Char"/>
    <w:basedOn w:val="Standaardalinea-lettertype"/>
    <w:link w:val="Voetnoottekst"/>
    <w:uiPriority w:val="99"/>
    <w:rsid w:val="00E3205B"/>
    <w:rPr>
      <w:rFonts w:ascii="Calibri" w:eastAsia="Calibri" w:hAnsi="Calibri" w:cs="Times New Roman"/>
      <w:sz w:val="20"/>
      <w:szCs w:val="20"/>
    </w:rPr>
  </w:style>
  <w:style w:type="character" w:styleId="Voetnootmarkering">
    <w:name w:val="footnote reference"/>
    <w:aliases w:val="RSC_WP (footnote reference)"/>
    <w:basedOn w:val="Standaardalinea-lettertype"/>
    <w:uiPriority w:val="99"/>
    <w:unhideWhenUsed/>
    <w:rsid w:val="00E3205B"/>
    <w:rPr>
      <w:vertAlign w:val="superscript"/>
    </w:rPr>
  </w:style>
  <w:style w:type="paragraph" w:customStyle="1" w:styleId="Default">
    <w:name w:val="Default"/>
    <w:rsid w:val="00E3205B"/>
    <w:pPr>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character" w:styleId="Verwijzingopmerking">
    <w:name w:val="annotation reference"/>
    <w:basedOn w:val="Standaardalinea-lettertype"/>
    <w:uiPriority w:val="99"/>
    <w:semiHidden/>
    <w:unhideWhenUsed/>
    <w:rsid w:val="00E3205B"/>
    <w:rPr>
      <w:sz w:val="16"/>
      <w:szCs w:val="16"/>
    </w:rPr>
  </w:style>
  <w:style w:type="paragraph" w:styleId="Tekstopmerking">
    <w:name w:val="annotation text"/>
    <w:basedOn w:val="Standaard"/>
    <w:link w:val="TekstopmerkingChar"/>
    <w:uiPriority w:val="99"/>
    <w:semiHidden/>
    <w:unhideWhenUsed/>
    <w:rsid w:val="00E320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205B"/>
    <w:rPr>
      <w:sz w:val="20"/>
      <w:szCs w:val="20"/>
    </w:rPr>
  </w:style>
  <w:style w:type="paragraph" w:styleId="Ballontekst">
    <w:name w:val="Balloon Text"/>
    <w:basedOn w:val="Standaard"/>
    <w:link w:val="BallontekstChar"/>
    <w:uiPriority w:val="99"/>
    <w:semiHidden/>
    <w:unhideWhenUsed/>
    <w:rsid w:val="00E320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2808</Words>
  <Characters>15444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Meiboom</dc:creator>
  <cp:lastModifiedBy>Dirk de Lange</cp:lastModifiedBy>
  <cp:revision>2</cp:revision>
  <dcterms:created xsi:type="dcterms:W3CDTF">2017-03-16T16:27:00Z</dcterms:created>
  <dcterms:modified xsi:type="dcterms:W3CDTF">2017-03-16T16:27:00Z</dcterms:modified>
</cp:coreProperties>
</file>