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C490" w14:textId="3DA2B120" w:rsidR="00BE036A" w:rsidRDefault="00BE036A" w:rsidP="00BE036A">
      <w:pPr>
        <w:spacing w:line="240" w:lineRule="auto"/>
        <w:rPr>
          <w:b/>
        </w:rPr>
      </w:pPr>
      <w:r w:rsidRPr="00702E89">
        <w:rPr>
          <w:b/>
        </w:rPr>
        <w:t>Model Compliance Protocol</w:t>
      </w:r>
      <w:r>
        <w:rPr>
          <w:b/>
        </w:rPr>
        <w:t xml:space="preserve"> uitvoering </w:t>
      </w:r>
      <w:proofErr w:type="spellStart"/>
      <w:r>
        <w:rPr>
          <w:b/>
        </w:rPr>
        <w:t>W</w:t>
      </w:r>
      <w:r w:rsidR="008A727D">
        <w:rPr>
          <w:b/>
        </w:rPr>
        <w:t>wft</w:t>
      </w:r>
      <w:proofErr w:type="spellEnd"/>
      <w:r w:rsidR="0023747E">
        <w:rPr>
          <w:b/>
        </w:rPr>
        <w:t>, met gebruikmaking van een WWFT-tool</w:t>
      </w:r>
    </w:p>
    <w:p w14:paraId="6D4FB721" w14:textId="77777777" w:rsidR="00BE036A" w:rsidRDefault="00BE036A" w:rsidP="00BE036A">
      <w:pPr>
        <w:spacing w:line="240" w:lineRule="auto"/>
        <w:rPr>
          <w:b/>
        </w:rPr>
      </w:pPr>
    </w:p>
    <w:p w14:paraId="668F36B0" w14:textId="77777777" w:rsidR="00656BC4" w:rsidRDefault="00656BC4" w:rsidP="004C6688">
      <w:pPr>
        <w:spacing w:line="240" w:lineRule="auto"/>
      </w:pPr>
    </w:p>
    <w:p w14:paraId="697B7D1F" w14:textId="50C57A6A" w:rsidR="00656BC4" w:rsidRPr="00656BC4" w:rsidRDefault="00656BC4" w:rsidP="00656BC4">
      <w:pPr>
        <w:spacing w:line="240" w:lineRule="auto"/>
      </w:pPr>
      <w:r w:rsidRPr="00656BC4">
        <w:t xml:space="preserve">Datum vaststelling model: </w:t>
      </w:r>
      <w:r>
        <w:t>17 april</w:t>
      </w:r>
      <w:r w:rsidRPr="00656BC4">
        <w:t xml:space="preserve"> 20</w:t>
      </w:r>
      <w:r>
        <w:t>25</w:t>
      </w:r>
    </w:p>
    <w:p w14:paraId="417BF750" w14:textId="5E0F4367" w:rsidR="00656BC4" w:rsidRPr="00656BC4" w:rsidRDefault="00656BC4" w:rsidP="00656BC4">
      <w:pPr>
        <w:spacing w:line="240" w:lineRule="auto"/>
      </w:pPr>
      <w:r w:rsidRPr="00656BC4">
        <w:t xml:space="preserve">Datum laatste wijziging: </w:t>
      </w:r>
      <w:r w:rsidR="00975094">
        <w:t>20 augustus</w:t>
      </w:r>
      <w:r>
        <w:t xml:space="preserve"> 2025</w:t>
      </w:r>
    </w:p>
    <w:p w14:paraId="2DACBA88" w14:textId="77777777" w:rsidR="004C6688" w:rsidRDefault="004C6688" w:rsidP="004C6688"/>
    <w:p w14:paraId="57C1A4CA" w14:textId="77777777" w:rsidR="00706529" w:rsidRDefault="00706529" w:rsidP="00706529">
      <w:r w:rsidRPr="001821D2">
        <w:rPr>
          <w:highlight w:val="yellow"/>
        </w:rPr>
        <w:t>Haal dit tekstblok weg als je helemaal klaar bent met aanpassen:</w:t>
      </w:r>
    </w:p>
    <w:p w14:paraId="3ADBBD7D" w14:textId="77777777" w:rsidR="00706529" w:rsidRDefault="00706529" w:rsidP="00706529"/>
    <w:p w14:paraId="1B0131AA" w14:textId="77777777" w:rsidR="00706529" w:rsidRDefault="00706529" w:rsidP="00706529">
      <w:r>
        <w:t>Invulinstructie: Neem het bestand helemaal door en pas waar nodig en waar van toepassing aan.</w:t>
      </w:r>
    </w:p>
    <w:p w14:paraId="17DB04A7" w14:textId="77777777" w:rsidR="00706529" w:rsidRDefault="00706529" w:rsidP="00706529"/>
    <w:p w14:paraId="484E2F7E" w14:textId="77777777" w:rsidR="00706529" w:rsidRDefault="00706529" w:rsidP="00706529">
      <w:r>
        <w:t xml:space="preserve">Het WWFT-beleid is geen exacte wetenschap en biedt de nodige vrijheden bij de inrichting. </w:t>
      </w:r>
    </w:p>
    <w:p w14:paraId="7A80D0C8" w14:textId="77777777" w:rsidR="00706529" w:rsidRDefault="00706529" w:rsidP="00706529"/>
    <w:p w14:paraId="3AD68AF5" w14:textId="77777777" w:rsidR="00706529" w:rsidRDefault="00706529" w:rsidP="00706529">
      <w:r>
        <w:t>Snijd het op maat voor jouw kantoor.</w:t>
      </w:r>
    </w:p>
    <w:p w14:paraId="539DAE0C" w14:textId="77777777" w:rsidR="00706529" w:rsidRDefault="00706529" w:rsidP="00706529"/>
    <w:p w14:paraId="632AE26A" w14:textId="77777777" w:rsidR="00706529" w:rsidRDefault="00706529" w:rsidP="00706529">
      <w:r>
        <w:t>Handig hulpmiddel daarbij zijn de kleurcoderingen en invulplekken.</w:t>
      </w:r>
    </w:p>
    <w:p w14:paraId="7F3CF776" w14:textId="77777777" w:rsidR="00706529" w:rsidRDefault="00706529" w:rsidP="00706529">
      <w:r>
        <w:t>Blanco: geen actie vereist, neem er wel kennis van</w:t>
      </w:r>
    </w:p>
    <w:p w14:paraId="60EE6CD7" w14:textId="77777777" w:rsidR="00706529" w:rsidRDefault="00706529" w:rsidP="00706529">
      <w:r>
        <w:t xml:space="preserve">Liggende streep: ” ___________________________“: vul in </w:t>
      </w:r>
    </w:p>
    <w:p w14:paraId="35D2616D" w14:textId="77777777" w:rsidR="00706529" w:rsidRDefault="00706529" w:rsidP="00706529">
      <w:r w:rsidRPr="00A940B7">
        <w:rPr>
          <w:highlight w:val="yellow"/>
        </w:rPr>
        <w:t xml:space="preserve">Geel: pas aan </w:t>
      </w:r>
      <w:r>
        <w:rPr>
          <w:highlight w:val="yellow"/>
        </w:rPr>
        <w:t xml:space="preserve">of pas toe </w:t>
      </w:r>
      <w:r w:rsidRPr="00A940B7">
        <w:rPr>
          <w:highlight w:val="yellow"/>
        </w:rPr>
        <w:t>buiten dit document</w:t>
      </w:r>
    </w:p>
    <w:p w14:paraId="62F06CF6" w14:textId="77777777" w:rsidR="00706529" w:rsidRDefault="00706529" w:rsidP="00706529">
      <w:r w:rsidRPr="00A940B7">
        <w:rPr>
          <w:highlight w:val="red"/>
        </w:rPr>
        <w:t>Rood: maak keuze in alternatieven</w:t>
      </w:r>
      <w:r>
        <w:t xml:space="preserve"> </w:t>
      </w:r>
    </w:p>
    <w:p w14:paraId="3C90F574" w14:textId="77777777" w:rsidR="00706529" w:rsidRDefault="00706529" w:rsidP="00706529">
      <w:r w:rsidRPr="00A940B7">
        <w:rPr>
          <w:highlight w:val="green"/>
        </w:rPr>
        <w:t>Groen pas aan naar eigen inzicht en kantoor</w:t>
      </w:r>
    </w:p>
    <w:p w14:paraId="2025460C" w14:textId="77777777" w:rsidR="00706529" w:rsidRDefault="00706529" w:rsidP="00706529"/>
    <w:p w14:paraId="50FD0B35" w14:textId="77777777" w:rsidR="00706529" w:rsidRDefault="00706529" w:rsidP="00706529">
      <w:r>
        <w:t xml:space="preserve">Als je klaar bent, haal dan de kleurmarkeringen weg en sla het bestand op </w:t>
      </w:r>
      <w:proofErr w:type="spellStart"/>
      <w:r>
        <w:t>op</w:t>
      </w:r>
      <w:proofErr w:type="spellEnd"/>
      <w:r>
        <w:t xml:space="preserve"> een logische plaats, waar jouw medewerkers het kunnen terugvinden en waarnaar je verwijst bij een audit.</w:t>
      </w:r>
    </w:p>
    <w:p w14:paraId="16A3C9B9" w14:textId="77777777" w:rsidR="00706529" w:rsidRDefault="00706529" w:rsidP="00706529"/>
    <w:p w14:paraId="247E6D0A" w14:textId="77777777" w:rsidR="00706529" w:rsidRDefault="00706529" w:rsidP="00706529">
      <w:r>
        <w:rPr>
          <w:highlight w:val="yellow"/>
        </w:rPr>
        <w:t>Einde: H</w:t>
      </w:r>
      <w:r w:rsidRPr="001821D2">
        <w:rPr>
          <w:highlight w:val="yellow"/>
        </w:rPr>
        <w:t>aal dit tekstblok weg als je helemaal klaar bent met aanpassen:</w:t>
      </w:r>
    </w:p>
    <w:p w14:paraId="1F1A8734" w14:textId="77777777" w:rsidR="00706529" w:rsidRDefault="00706529" w:rsidP="004C6688"/>
    <w:p w14:paraId="567CD08B" w14:textId="77777777" w:rsidR="004C6688" w:rsidRDefault="004C6688" w:rsidP="004C6688">
      <w:r>
        <w:t>Dit is het Compliance Protocol van ____________ notarissen, vastgesteld op ______________ door ______________</w:t>
      </w:r>
    </w:p>
    <w:p w14:paraId="0D5935DF" w14:textId="77777777" w:rsidR="004C6688" w:rsidRDefault="004C6688" w:rsidP="004C6688"/>
    <w:p w14:paraId="32746987" w14:textId="77777777" w:rsidR="004C6688" w:rsidRDefault="004C6688" w:rsidP="004C6688"/>
    <w:p w14:paraId="37013EC1" w14:textId="77777777" w:rsidR="004C6688" w:rsidRDefault="004C6688" w:rsidP="004C6688">
      <w:r>
        <w:t>Iedereen die werkzaam is bij ons kantoor moet kennisnemen van dit protocol en verklaren de regels en het beleid te zullen naleven.</w:t>
      </w:r>
    </w:p>
    <w:p w14:paraId="45D13C5E" w14:textId="77777777" w:rsidR="004C6688" w:rsidRDefault="004C6688" w:rsidP="004C6688"/>
    <w:p w14:paraId="6A8686AB" w14:textId="611D95AF" w:rsidR="0023747E" w:rsidRDefault="0023747E" w:rsidP="004C6688">
      <w:r>
        <w:t xml:space="preserve">De uitvoering van de WWFT </w:t>
      </w:r>
      <w:r w:rsidR="005268D0">
        <w:t xml:space="preserve">in het algemeen </w:t>
      </w:r>
      <w:r>
        <w:t xml:space="preserve">is complex. De uitvoering van de </w:t>
      </w:r>
      <w:r w:rsidR="000352D2">
        <w:t xml:space="preserve">afzonderlijke </w:t>
      </w:r>
      <w:r>
        <w:t>WWFT-cliëntenonderzoek</w:t>
      </w:r>
      <w:r w:rsidR="000352D2">
        <w:t>en</w:t>
      </w:r>
      <w:r>
        <w:t>,  transactieonderzoek</w:t>
      </w:r>
      <w:r w:rsidR="000352D2">
        <w:t>en</w:t>
      </w:r>
      <w:r>
        <w:t>, UBO-onderzoek</w:t>
      </w:r>
      <w:r w:rsidR="000352D2">
        <w:t>en</w:t>
      </w:r>
      <w:r>
        <w:t xml:space="preserve"> en het risicobeheersingssysteem ten aanzien van politiek prominente personen (PEP) is </w:t>
      </w:r>
      <w:r w:rsidR="000352D2">
        <w:t xml:space="preserve">bijzonder complex, </w:t>
      </w:r>
      <w:r>
        <w:t xml:space="preserve">tijdrovend, foutgevoelig en weerbarstig. </w:t>
      </w:r>
    </w:p>
    <w:p w14:paraId="21A29B0F" w14:textId="77777777" w:rsidR="0023747E" w:rsidRDefault="0023747E" w:rsidP="004C6688"/>
    <w:p w14:paraId="530F5754" w14:textId="3025000E" w:rsidR="0023747E" w:rsidRPr="0021482D" w:rsidRDefault="0023747E" w:rsidP="004C6688">
      <w:pPr>
        <w:rPr>
          <w:color w:val="FF0000"/>
        </w:rPr>
      </w:pPr>
      <w:r>
        <w:t xml:space="preserve">Daarom heeft organisatie besloten die onderzoeken zoveel mogelijk te automatiseren. Wij hebben </w:t>
      </w:r>
      <w:r w:rsidR="00D80971">
        <w:t xml:space="preserve">na ampele overweging </w:t>
      </w:r>
      <w:r>
        <w:t xml:space="preserve">gekozen voor de tool van </w:t>
      </w:r>
      <w:r w:rsidRPr="0021482D">
        <w:rPr>
          <w:color w:val="FF0000"/>
        </w:rPr>
        <w:t>//</w:t>
      </w:r>
    </w:p>
    <w:p w14:paraId="5D010227" w14:textId="77777777" w:rsidR="00D80971" w:rsidRPr="00656BC4" w:rsidRDefault="0023747E" w:rsidP="004C6688">
      <w:pPr>
        <w:rPr>
          <w:color w:val="FF0000"/>
          <w:lang w:val="en-GB"/>
        </w:rPr>
      </w:pPr>
      <w:r w:rsidRPr="00656BC4">
        <w:rPr>
          <w:color w:val="FF0000"/>
          <w:lang w:val="en-GB"/>
        </w:rPr>
        <w:t>AML Made Easy B.V.</w:t>
      </w:r>
      <w:r w:rsidR="00D80971" w:rsidRPr="00656BC4">
        <w:rPr>
          <w:color w:val="FF0000"/>
          <w:lang w:val="en-GB"/>
        </w:rPr>
        <w:t xml:space="preserve"> </w:t>
      </w:r>
    </w:p>
    <w:p w14:paraId="41FE699F" w14:textId="1ABCEDF1" w:rsidR="00D80971" w:rsidRPr="0021482D" w:rsidRDefault="00D80971" w:rsidP="004C6688">
      <w:pPr>
        <w:rPr>
          <w:color w:val="FF0000"/>
        </w:rPr>
      </w:pPr>
      <w:r w:rsidRPr="0021482D">
        <w:rPr>
          <w:color w:val="FF0000"/>
        </w:rPr>
        <w:t xml:space="preserve">Onze overwegingen daarbij zijn de volgende: </w:t>
      </w:r>
    </w:p>
    <w:p w14:paraId="3BD4ED32" w14:textId="77777777" w:rsidR="000352D2" w:rsidRDefault="00D80971" w:rsidP="004C6688">
      <w:pPr>
        <w:pStyle w:val="Lijstalinea"/>
        <w:numPr>
          <w:ilvl w:val="0"/>
          <w:numId w:val="24"/>
        </w:numPr>
        <w:rPr>
          <w:color w:val="FF0000"/>
        </w:rPr>
      </w:pPr>
      <w:r w:rsidRPr="0021482D">
        <w:rPr>
          <w:color w:val="FF0000"/>
        </w:rPr>
        <w:t>Deze</w:t>
      </w:r>
      <w:r w:rsidR="0023747E" w:rsidRPr="0021482D">
        <w:rPr>
          <w:color w:val="FF0000"/>
        </w:rPr>
        <w:t xml:space="preserve"> tool </w:t>
      </w:r>
      <w:r w:rsidRPr="0021482D">
        <w:rPr>
          <w:color w:val="FF0000"/>
        </w:rPr>
        <w:t xml:space="preserve">voert </w:t>
      </w:r>
      <w:r w:rsidR="0023747E" w:rsidRPr="0021482D">
        <w:rPr>
          <w:color w:val="FF0000"/>
        </w:rPr>
        <w:t>het meest complete onderzoek uit</w:t>
      </w:r>
      <w:r w:rsidRPr="0021482D">
        <w:rPr>
          <w:color w:val="FF0000"/>
        </w:rPr>
        <w:t>;</w:t>
      </w:r>
    </w:p>
    <w:p w14:paraId="039BB10C" w14:textId="77777777" w:rsidR="000352D2" w:rsidRDefault="00D80971" w:rsidP="004C6688">
      <w:pPr>
        <w:pStyle w:val="Lijstalinea"/>
        <w:numPr>
          <w:ilvl w:val="0"/>
          <w:numId w:val="24"/>
        </w:numPr>
        <w:rPr>
          <w:color w:val="FF0000"/>
        </w:rPr>
      </w:pPr>
      <w:r w:rsidRPr="0021482D">
        <w:rPr>
          <w:color w:val="FF0000"/>
        </w:rPr>
        <w:lastRenderedPageBreak/>
        <w:t xml:space="preserve">Deze tool </w:t>
      </w:r>
      <w:r w:rsidR="0023747E" w:rsidRPr="0021482D">
        <w:rPr>
          <w:color w:val="FF0000"/>
        </w:rPr>
        <w:t>voert meteen ook de legitimatie van de cliënt</w:t>
      </w:r>
      <w:r w:rsidR="000352D2" w:rsidRPr="000352D2">
        <w:rPr>
          <w:color w:val="FF0000"/>
        </w:rPr>
        <w:t xml:space="preserve"> en de UBO</w:t>
      </w:r>
      <w:r w:rsidR="0023747E" w:rsidRPr="0021482D">
        <w:rPr>
          <w:color w:val="FF0000"/>
        </w:rPr>
        <w:t xml:space="preserve"> uit</w:t>
      </w:r>
      <w:r w:rsidR="000352D2" w:rsidRPr="000352D2">
        <w:rPr>
          <w:color w:val="FF0000"/>
        </w:rPr>
        <w:t>;</w:t>
      </w:r>
    </w:p>
    <w:p w14:paraId="69C01BA9" w14:textId="77777777" w:rsidR="000352D2" w:rsidRDefault="00D80971" w:rsidP="004C6688">
      <w:pPr>
        <w:pStyle w:val="Lijstalinea"/>
        <w:numPr>
          <w:ilvl w:val="0"/>
          <w:numId w:val="24"/>
        </w:numPr>
        <w:rPr>
          <w:color w:val="FF0000"/>
        </w:rPr>
      </w:pPr>
      <w:r w:rsidRPr="0021482D">
        <w:rPr>
          <w:color w:val="FF0000"/>
        </w:rPr>
        <w:t xml:space="preserve">Bovendien maakt </w:t>
      </w:r>
      <w:r w:rsidR="0023747E" w:rsidRPr="0021482D">
        <w:rPr>
          <w:color w:val="FF0000"/>
        </w:rPr>
        <w:t>de</w:t>
      </w:r>
      <w:r w:rsidR="000352D2" w:rsidRPr="000352D2">
        <w:rPr>
          <w:color w:val="FF0000"/>
        </w:rPr>
        <w:t>ze</w:t>
      </w:r>
      <w:r w:rsidR="0023747E" w:rsidRPr="0021482D">
        <w:rPr>
          <w:color w:val="FF0000"/>
        </w:rPr>
        <w:t xml:space="preserve"> tool het mogelijk om afweging</w:t>
      </w:r>
      <w:r w:rsidR="00284644" w:rsidRPr="0021482D">
        <w:rPr>
          <w:color w:val="FF0000"/>
        </w:rPr>
        <w:t>e</w:t>
      </w:r>
      <w:r w:rsidR="0023747E" w:rsidRPr="0021482D">
        <w:rPr>
          <w:color w:val="FF0000"/>
        </w:rPr>
        <w:t>n en overwegingen vast te leggen daar waar dat nodig is</w:t>
      </w:r>
      <w:r w:rsidR="000352D2" w:rsidRPr="000352D2">
        <w:rPr>
          <w:color w:val="FF0000"/>
        </w:rPr>
        <w:t>;</w:t>
      </w:r>
    </w:p>
    <w:p w14:paraId="7DAEC2C7" w14:textId="77777777" w:rsidR="000352D2" w:rsidRDefault="00284644" w:rsidP="004C6688">
      <w:pPr>
        <w:pStyle w:val="Lijstalinea"/>
        <w:numPr>
          <w:ilvl w:val="0"/>
          <w:numId w:val="24"/>
        </w:numPr>
        <w:rPr>
          <w:color w:val="FF0000"/>
        </w:rPr>
      </w:pPr>
      <w:r w:rsidRPr="0021482D">
        <w:rPr>
          <w:color w:val="FF0000"/>
        </w:rPr>
        <w:t>De</w:t>
      </w:r>
      <w:r w:rsidR="00D80971" w:rsidRPr="0021482D">
        <w:rPr>
          <w:color w:val="FF0000"/>
        </w:rPr>
        <w:t>ze</w:t>
      </w:r>
      <w:r w:rsidRPr="0021482D">
        <w:rPr>
          <w:color w:val="FF0000"/>
        </w:rPr>
        <w:t xml:space="preserve"> tool </w:t>
      </w:r>
      <w:r w:rsidR="00D80971" w:rsidRPr="0021482D">
        <w:rPr>
          <w:color w:val="FF0000"/>
        </w:rPr>
        <w:t xml:space="preserve">beschikt over een opschalingsmechanisme en </w:t>
      </w:r>
      <w:r w:rsidRPr="0021482D">
        <w:rPr>
          <w:color w:val="FF0000"/>
        </w:rPr>
        <w:t xml:space="preserve">maakt het mogelijk om een vereenvoudigd onderzoek op te schalen naar regulier en regulier onderzoek naar </w:t>
      </w:r>
      <w:r w:rsidR="000352D2" w:rsidRPr="000352D2">
        <w:rPr>
          <w:color w:val="FF0000"/>
        </w:rPr>
        <w:t xml:space="preserve">een </w:t>
      </w:r>
      <w:r w:rsidRPr="0021482D">
        <w:rPr>
          <w:color w:val="FF0000"/>
        </w:rPr>
        <w:t>verscherpt</w:t>
      </w:r>
      <w:r w:rsidR="000352D2" w:rsidRPr="000352D2">
        <w:rPr>
          <w:color w:val="FF0000"/>
        </w:rPr>
        <w:t xml:space="preserve"> onderzoek;</w:t>
      </w:r>
    </w:p>
    <w:p w14:paraId="2292C7CC" w14:textId="77777777" w:rsidR="000352D2" w:rsidRDefault="00284644" w:rsidP="004C6688">
      <w:pPr>
        <w:pStyle w:val="Lijstalinea"/>
        <w:numPr>
          <w:ilvl w:val="0"/>
          <w:numId w:val="24"/>
        </w:numPr>
        <w:rPr>
          <w:color w:val="FF0000"/>
        </w:rPr>
      </w:pPr>
      <w:r w:rsidRPr="0021482D">
        <w:rPr>
          <w:color w:val="FF0000"/>
        </w:rPr>
        <w:t>De</w:t>
      </w:r>
      <w:r w:rsidR="00D80971" w:rsidRPr="0021482D">
        <w:rPr>
          <w:color w:val="FF0000"/>
        </w:rPr>
        <w:t>ze</w:t>
      </w:r>
      <w:r w:rsidRPr="0021482D">
        <w:rPr>
          <w:color w:val="FF0000"/>
        </w:rPr>
        <w:t xml:space="preserve"> tool maakt het mogelijk om nadere vragen en toelichtingen op te vragen waarvan de antwoorden en bijlagen direct op de juiste plaats worden opgeslagen</w:t>
      </w:r>
      <w:r w:rsidR="000352D2" w:rsidRPr="000352D2">
        <w:rPr>
          <w:color w:val="FF0000"/>
        </w:rPr>
        <w:t>;</w:t>
      </w:r>
    </w:p>
    <w:p w14:paraId="623C0143" w14:textId="77777777" w:rsidR="000352D2" w:rsidRPr="000352D2" w:rsidRDefault="000352D2" w:rsidP="000352D2">
      <w:pPr>
        <w:pStyle w:val="Lijstalinea"/>
        <w:numPr>
          <w:ilvl w:val="0"/>
          <w:numId w:val="24"/>
        </w:numPr>
        <w:rPr>
          <w:color w:val="FF0000"/>
        </w:rPr>
      </w:pPr>
      <w:r w:rsidRPr="000352D2">
        <w:rPr>
          <w:color w:val="FF0000"/>
        </w:rPr>
        <w:t>Deze tool helpt met het inzichtelijk krijgen van de kasstromen en financieringswijzen van de transacties.</w:t>
      </w:r>
    </w:p>
    <w:p w14:paraId="7156352A" w14:textId="77777777" w:rsidR="000352D2" w:rsidRDefault="00D80971" w:rsidP="004C6688">
      <w:pPr>
        <w:pStyle w:val="Lijstalinea"/>
        <w:numPr>
          <w:ilvl w:val="0"/>
          <w:numId w:val="24"/>
        </w:numPr>
        <w:rPr>
          <w:color w:val="FF0000"/>
        </w:rPr>
      </w:pPr>
      <w:r w:rsidRPr="0021482D">
        <w:rPr>
          <w:color w:val="FF0000"/>
        </w:rPr>
        <w:t>Deze tool maakt het onderzoek naar de herkomst van de middelen veel gemakkelijker</w:t>
      </w:r>
      <w:r w:rsidR="000352D2" w:rsidRPr="000352D2">
        <w:rPr>
          <w:color w:val="FF0000"/>
        </w:rPr>
        <w:t>;</w:t>
      </w:r>
    </w:p>
    <w:p w14:paraId="0705BC37" w14:textId="0EBFDB8C" w:rsidR="004C6688" w:rsidRPr="0021482D" w:rsidRDefault="00284644" w:rsidP="0021482D">
      <w:pPr>
        <w:pStyle w:val="Lijstalinea"/>
        <w:numPr>
          <w:ilvl w:val="0"/>
          <w:numId w:val="24"/>
        </w:numPr>
        <w:rPr>
          <w:color w:val="FF0000"/>
        </w:rPr>
      </w:pPr>
      <w:r w:rsidRPr="0021482D">
        <w:rPr>
          <w:color w:val="FF0000"/>
        </w:rPr>
        <w:t>De</w:t>
      </w:r>
      <w:r w:rsidR="00D80971" w:rsidRPr="0021482D">
        <w:rPr>
          <w:color w:val="FF0000"/>
        </w:rPr>
        <w:t>ze</w:t>
      </w:r>
      <w:r w:rsidRPr="0021482D">
        <w:rPr>
          <w:color w:val="FF0000"/>
        </w:rPr>
        <w:t xml:space="preserve"> tool is erop ingericht om de wettelijke bewaartermijn en de wettelijke verwijdertermijn te managen. </w:t>
      </w:r>
      <w:r w:rsidR="0023747E" w:rsidRPr="0021482D">
        <w:rPr>
          <w:color w:val="FF0000"/>
        </w:rPr>
        <w:t xml:space="preserve"> </w:t>
      </w:r>
    </w:p>
    <w:p w14:paraId="32A515CA" w14:textId="77777777" w:rsidR="0023747E" w:rsidRPr="0021482D" w:rsidRDefault="0023747E" w:rsidP="004C6688">
      <w:pPr>
        <w:rPr>
          <w:color w:val="FF0000"/>
        </w:rPr>
      </w:pPr>
    </w:p>
    <w:p w14:paraId="45551898" w14:textId="1856335B" w:rsidR="0023747E" w:rsidRPr="0021482D" w:rsidRDefault="0023747E" w:rsidP="004C6688">
      <w:pPr>
        <w:rPr>
          <w:color w:val="FF0000"/>
        </w:rPr>
      </w:pPr>
      <w:r w:rsidRPr="00656BC4">
        <w:rPr>
          <w:color w:val="FF0000"/>
          <w:lang w:val="en-GB"/>
        </w:rPr>
        <w:t>//Paolo</w:t>
      </w:r>
      <w:r w:rsidR="00284644" w:rsidRPr="00656BC4">
        <w:rPr>
          <w:color w:val="FF0000"/>
          <w:lang w:val="en-GB"/>
        </w:rPr>
        <w:t>KYC</w:t>
      </w:r>
      <w:r w:rsidRPr="00656BC4">
        <w:rPr>
          <w:color w:val="FF0000"/>
          <w:lang w:val="en-GB"/>
        </w:rPr>
        <w:t>//WWFTrace//Regulatory Lab//</w:t>
      </w:r>
      <w:r w:rsidR="00284644" w:rsidRPr="00656BC4">
        <w:rPr>
          <w:color w:val="FF0000"/>
          <w:lang w:val="en-GB"/>
        </w:rPr>
        <w:t>Compliance Wise//ZKR.nl//Complizy.nl// ________//</w:t>
      </w:r>
      <w:r w:rsidRPr="00656BC4">
        <w:rPr>
          <w:color w:val="FF0000"/>
          <w:lang w:val="en-GB"/>
        </w:rPr>
        <w:t xml:space="preserve"> ______________</w:t>
      </w:r>
      <w:r w:rsidR="00DC4C60" w:rsidRPr="00656BC4">
        <w:rPr>
          <w:color w:val="FF0000"/>
          <w:lang w:val="en-GB"/>
        </w:rPr>
        <w:t xml:space="preserve">. </w:t>
      </w:r>
      <w:r w:rsidR="00DC4C60">
        <w:rPr>
          <w:color w:val="FF0000"/>
        </w:rPr>
        <w:t>Deze tool noemen we hierna de “</w:t>
      </w:r>
      <w:r w:rsidR="00DC4C60" w:rsidRPr="0021482D">
        <w:rPr>
          <w:b/>
          <w:bCs/>
          <w:color w:val="FF0000"/>
        </w:rPr>
        <w:t>AML-</w:t>
      </w:r>
      <w:r w:rsidR="000352D2">
        <w:rPr>
          <w:b/>
          <w:bCs/>
          <w:color w:val="FF0000"/>
        </w:rPr>
        <w:t>T</w:t>
      </w:r>
      <w:r w:rsidR="00DC4C60" w:rsidRPr="0021482D">
        <w:rPr>
          <w:b/>
          <w:bCs/>
          <w:color w:val="FF0000"/>
        </w:rPr>
        <w:t>ool</w:t>
      </w:r>
      <w:r w:rsidR="00DC4C60">
        <w:rPr>
          <w:color w:val="FF0000"/>
        </w:rPr>
        <w:t>”.</w:t>
      </w:r>
      <w:r w:rsidRPr="0021482D">
        <w:rPr>
          <w:color w:val="FF0000"/>
        </w:rPr>
        <w:t>_.</w:t>
      </w:r>
    </w:p>
    <w:p w14:paraId="02124A33" w14:textId="77777777" w:rsidR="004C6688" w:rsidRDefault="004C6688" w:rsidP="004C6688"/>
    <w:p w14:paraId="12B52D32" w14:textId="42C4E957" w:rsidR="004C6688" w:rsidRPr="001E2A39" w:rsidRDefault="004C6688" w:rsidP="004C6688">
      <w:pPr>
        <w:rPr>
          <w:b/>
        </w:rPr>
      </w:pPr>
      <w:r w:rsidRPr="001E2A39">
        <w:rPr>
          <w:b/>
        </w:rPr>
        <w:t xml:space="preserve">1. Risicoanalyse kantoorniveau (art. 2b </w:t>
      </w:r>
      <w:proofErr w:type="spellStart"/>
      <w:r w:rsidRPr="001E2A39">
        <w:rPr>
          <w:b/>
        </w:rPr>
        <w:t>W</w:t>
      </w:r>
      <w:r w:rsidR="00235CE8">
        <w:rPr>
          <w:b/>
        </w:rPr>
        <w:t>wft</w:t>
      </w:r>
      <w:proofErr w:type="spellEnd"/>
      <w:r w:rsidR="00235CE8">
        <w:rPr>
          <w:b/>
        </w:rPr>
        <w:t xml:space="preserve"> </w:t>
      </w:r>
      <w:r w:rsidRPr="001E2A39">
        <w:rPr>
          <w:b/>
        </w:rPr>
        <w:t>2018)</w:t>
      </w:r>
    </w:p>
    <w:p w14:paraId="4B938027" w14:textId="77777777" w:rsidR="004C6688" w:rsidRDefault="004C6688" w:rsidP="004C6688"/>
    <w:p w14:paraId="33065E1B" w14:textId="77777777" w:rsidR="00EA139C" w:rsidRDefault="00EA139C" w:rsidP="00EA139C">
      <w:r>
        <w:t>Wij hebben kennisgenomen van:</w:t>
      </w:r>
    </w:p>
    <w:p w14:paraId="1654F4B9" w14:textId="77777777" w:rsidR="00EA139C" w:rsidRDefault="00EA139C" w:rsidP="00EA139C"/>
    <w:p w14:paraId="2F4A4F7F" w14:textId="77777777" w:rsidR="00235CE8" w:rsidRDefault="00EA139C" w:rsidP="00235CE8">
      <w:r>
        <w:t xml:space="preserve">A. de National </w:t>
      </w:r>
      <w:proofErr w:type="spellStart"/>
      <w:r>
        <w:t>Risc</w:t>
      </w:r>
      <w:proofErr w:type="spellEnd"/>
      <w:r>
        <w:t xml:space="preserve"> Assessment Witwassen 2023, te benaderen via: </w:t>
      </w:r>
    </w:p>
    <w:p w14:paraId="5DB44558" w14:textId="77777777" w:rsidR="00235CE8" w:rsidRDefault="00235CE8" w:rsidP="00235CE8">
      <w:pPr>
        <w:pStyle w:val="Tekstopmerking"/>
      </w:pPr>
      <w:hyperlink r:id="rId8" w:history="1">
        <w:r w:rsidRPr="001A189C">
          <w:rPr>
            <w:rStyle w:val="Hyperlink"/>
          </w:rPr>
          <w:t>https://repository.wodc.nl/bitstream/handle/20.500.12832/3352/Cahier-2024-1-volledige-tekst.pdf?sequence=1&amp;isAllowed=y</w:t>
        </w:r>
      </w:hyperlink>
    </w:p>
    <w:p w14:paraId="543D188D" w14:textId="3294EC81" w:rsidR="00EA139C" w:rsidRDefault="00EA139C" w:rsidP="00EA139C"/>
    <w:p w14:paraId="46E3ADAB" w14:textId="77777777" w:rsidR="00EA139C" w:rsidRDefault="00EA139C" w:rsidP="00EA139C"/>
    <w:p w14:paraId="278A47CC" w14:textId="77777777" w:rsidR="00EA139C" w:rsidRDefault="00EA139C" w:rsidP="00EA139C">
      <w:r>
        <w:t>De 18 grootste witwasdreigingen zijn:</w:t>
      </w:r>
    </w:p>
    <w:p w14:paraId="7EF12C4E" w14:textId="77777777" w:rsidR="00EA139C" w:rsidRDefault="00EA139C" w:rsidP="00EA139C"/>
    <w:p w14:paraId="053DAC51" w14:textId="77777777" w:rsidR="00EA139C" w:rsidRDefault="00EA139C" w:rsidP="00EA139C">
      <w:r w:rsidRPr="007A789D">
        <w:rPr>
          <w:noProof/>
        </w:rPr>
        <w:drawing>
          <wp:inline distT="0" distB="0" distL="0" distR="0" wp14:anchorId="7AE25C7D" wp14:editId="59030E49">
            <wp:extent cx="5249008" cy="5487166"/>
            <wp:effectExtent l="0" t="0" r="8890" b="0"/>
            <wp:docPr id="13313299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29956" name=""/>
                    <pic:cNvPicPr/>
                  </pic:nvPicPr>
                  <pic:blipFill>
                    <a:blip r:embed="rId9"/>
                    <a:stretch>
                      <a:fillRect/>
                    </a:stretch>
                  </pic:blipFill>
                  <pic:spPr>
                    <a:xfrm>
                      <a:off x="0" y="0"/>
                      <a:ext cx="5249008" cy="5487166"/>
                    </a:xfrm>
                    <a:prstGeom prst="rect">
                      <a:avLst/>
                    </a:prstGeom>
                  </pic:spPr>
                </pic:pic>
              </a:graphicData>
            </a:graphic>
          </wp:inline>
        </w:drawing>
      </w:r>
    </w:p>
    <w:p w14:paraId="2A085C32" w14:textId="77777777" w:rsidR="00EA139C" w:rsidRDefault="00EA139C" w:rsidP="00EA139C"/>
    <w:p w14:paraId="1DC5A98E" w14:textId="649A0423" w:rsidR="00EA139C" w:rsidRDefault="00EA139C" w:rsidP="00EA139C">
      <w:r>
        <w:t>En de potentiële impact afgezet tegen de weerbaarheid</w:t>
      </w:r>
      <w:r w:rsidR="002835AF">
        <w:t>:</w:t>
      </w:r>
    </w:p>
    <w:p w14:paraId="430679B0" w14:textId="77777777" w:rsidR="00EA139C" w:rsidRDefault="00EA139C" w:rsidP="00EA139C"/>
    <w:p w14:paraId="6A772B41" w14:textId="77777777" w:rsidR="00EA139C" w:rsidRDefault="00EA139C" w:rsidP="00EA139C">
      <w:r w:rsidRPr="001A04A8">
        <w:rPr>
          <w:noProof/>
        </w:rPr>
        <w:drawing>
          <wp:inline distT="0" distB="0" distL="0" distR="0" wp14:anchorId="6547EF7E" wp14:editId="13BBA0F9">
            <wp:extent cx="5277587" cy="6820852"/>
            <wp:effectExtent l="0" t="0" r="0" b="0"/>
            <wp:docPr id="19331971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97187" name=""/>
                    <pic:cNvPicPr/>
                  </pic:nvPicPr>
                  <pic:blipFill>
                    <a:blip r:embed="rId10"/>
                    <a:stretch>
                      <a:fillRect/>
                    </a:stretch>
                  </pic:blipFill>
                  <pic:spPr>
                    <a:xfrm>
                      <a:off x="0" y="0"/>
                      <a:ext cx="5277587" cy="6820852"/>
                    </a:xfrm>
                    <a:prstGeom prst="rect">
                      <a:avLst/>
                    </a:prstGeom>
                  </pic:spPr>
                </pic:pic>
              </a:graphicData>
            </a:graphic>
          </wp:inline>
        </w:drawing>
      </w:r>
    </w:p>
    <w:p w14:paraId="78C3400A" w14:textId="77777777" w:rsidR="00EA139C" w:rsidRDefault="00EA139C" w:rsidP="00EA139C"/>
    <w:p w14:paraId="757CC141" w14:textId="77777777" w:rsidR="00EA139C" w:rsidRDefault="00EA139C" w:rsidP="00EA139C"/>
    <w:p w14:paraId="4E0EE41B" w14:textId="77777777" w:rsidR="00EA139C" w:rsidRDefault="00EA139C" w:rsidP="00EA139C"/>
    <w:p w14:paraId="43935F91" w14:textId="77777777" w:rsidR="004C262E" w:rsidRDefault="004C262E" w:rsidP="004C262E">
      <w:pPr>
        <w:spacing w:line="240" w:lineRule="auto"/>
        <w:contextualSpacing/>
      </w:pPr>
      <w:r>
        <w:t xml:space="preserve">B. de National </w:t>
      </w:r>
      <w:proofErr w:type="spellStart"/>
      <w:r>
        <w:t>Risc</w:t>
      </w:r>
      <w:proofErr w:type="spellEnd"/>
      <w:r>
        <w:t xml:space="preserve"> Assessment Terrorismefinanciering 2023, te benaderen via: </w:t>
      </w:r>
      <w:hyperlink r:id="rId11" w:history="1">
        <w:r w:rsidRPr="00024221">
          <w:rPr>
            <w:rStyle w:val="Hyperlink"/>
          </w:rPr>
          <w:t>https://repository.wodc.nl/bitstream/handle/20.500.12832/3353/Cahier-2024-2-volledige-tekst.pdf?sequence=1&amp;isAllowed=y</w:t>
        </w:r>
      </w:hyperlink>
    </w:p>
    <w:p w14:paraId="5817D249" w14:textId="77777777" w:rsidR="00EA139C" w:rsidRDefault="00EA139C" w:rsidP="00EA139C"/>
    <w:p w14:paraId="24EB0CB8" w14:textId="77777777" w:rsidR="00EA139C" w:rsidRDefault="00EA139C" w:rsidP="00EA139C">
      <w:r>
        <w:t xml:space="preserve">De twaalf grootste dreigingen die daaruit naar voren komen, zijn: </w:t>
      </w:r>
    </w:p>
    <w:p w14:paraId="6853AC48" w14:textId="77777777" w:rsidR="00EA139C" w:rsidRDefault="00EA139C" w:rsidP="00EA139C"/>
    <w:p w14:paraId="6D054442" w14:textId="77777777" w:rsidR="00EA139C" w:rsidRDefault="00EA139C" w:rsidP="00EA139C">
      <w:r w:rsidRPr="009B110A">
        <w:rPr>
          <w:noProof/>
        </w:rPr>
        <w:drawing>
          <wp:inline distT="0" distB="0" distL="0" distR="0" wp14:anchorId="201B2F06" wp14:editId="4DE7C65B">
            <wp:extent cx="5163271" cy="4858428"/>
            <wp:effectExtent l="0" t="0" r="0" b="0"/>
            <wp:docPr id="11463144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14433" name=""/>
                    <pic:cNvPicPr/>
                  </pic:nvPicPr>
                  <pic:blipFill>
                    <a:blip r:embed="rId12"/>
                    <a:stretch>
                      <a:fillRect/>
                    </a:stretch>
                  </pic:blipFill>
                  <pic:spPr>
                    <a:xfrm>
                      <a:off x="0" y="0"/>
                      <a:ext cx="5163271" cy="4858428"/>
                    </a:xfrm>
                    <a:prstGeom prst="rect">
                      <a:avLst/>
                    </a:prstGeom>
                  </pic:spPr>
                </pic:pic>
              </a:graphicData>
            </a:graphic>
          </wp:inline>
        </w:drawing>
      </w:r>
    </w:p>
    <w:p w14:paraId="7E188CB6" w14:textId="77777777" w:rsidR="00EA139C" w:rsidRDefault="00EA139C" w:rsidP="00EA139C"/>
    <w:p w14:paraId="0EDB2253" w14:textId="77777777" w:rsidR="00EA139C" w:rsidRDefault="00EA139C" w:rsidP="00EA139C"/>
    <w:p w14:paraId="07C0758A" w14:textId="77777777" w:rsidR="00EA139C" w:rsidRDefault="00EA139C" w:rsidP="00EA139C">
      <w:r>
        <w:t>En de potentiële impact afgezet tegen de weerbaarheid:</w:t>
      </w:r>
    </w:p>
    <w:p w14:paraId="7D69E920" w14:textId="77777777" w:rsidR="00EA139C" w:rsidRDefault="00EA139C" w:rsidP="00EA139C"/>
    <w:p w14:paraId="63216117" w14:textId="77777777" w:rsidR="00EA139C" w:rsidRDefault="00EA139C" w:rsidP="00EA139C">
      <w:r w:rsidRPr="00A029D3">
        <w:rPr>
          <w:noProof/>
        </w:rPr>
        <w:drawing>
          <wp:inline distT="0" distB="0" distL="0" distR="0" wp14:anchorId="4FB16E58" wp14:editId="64E30547">
            <wp:extent cx="5268060" cy="5401429"/>
            <wp:effectExtent l="0" t="0" r="8890" b="8890"/>
            <wp:docPr id="164694518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45183" name=""/>
                    <pic:cNvPicPr/>
                  </pic:nvPicPr>
                  <pic:blipFill>
                    <a:blip r:embed="rId13"/>
                    <a:stretch>
                      <a:fillRect/>
                    </a:stretch>
                  </pic:blipFill>
                  <pic:spPr>
                    <a:xfrm>
                      <a:off x="0" y="0"/>
                      <a:ext cx="5268060" cy="5401429"/>
                    </a:xfrm>
                    <a:prstGeom prst="rect">
                      <a:avLst/>
                    </a:prstGeom>
                  </pic:spPr>
                </pic:pic>
              </a:graphicData>
            </a:graphic>
          </wp:inline>
        </w:drawing>
      </w:r>
    </w:p>
    <w:p w14:paraId="1296A1ED" w14:textId="77777777" w:rsidR="00EA139C" w:rsidRDefault="00EA139C" w:rsidP="00EA139C"/>
    <w:p w14:paraId="37CEAA29" w14:textId="77777777" w:rsidR="00EA139C" w:rsidRPr="00000DBC" w:rsidRDefault="00EA139C" w:rsidP="00EA139C">
      <w:pPr>
        <w:rPr>
          <w:b/>
          <w:bCs/>
        </w:rPr>
      </w:pPr>
      <w:r w:rsidRPr="00000DBC">
        <w:rPr>
          <w:b/>
          <w:bCs/>
        </w:rPr>
        <w:t>Conclusie</w:t>
      </w:r>
    </w:p>
    <w:p w14:paraId="0E62AF0E" w14:textId="77777777" w:rsidR="00EA139C" w:rsidRDefault="00EA139C" w:rsidP="00EA139C">
      <w:r>
        <w:t xml:space="preserve">Uit het bovenstaande concluderen wij dat wij als notariskantoor nog steeds met name op het gebied van de levering van commercieel en particulier vastgoed en de financiering daarvan en op het gebied van de oprichting, statutenwijziging, fusie, splitsing van stichtingen extra waakzaam moeten zijn. De </w:t>
      </w:r>
      <w:proofErr w:type="spellStart"/>
      <w:r>
        <w:t>NRA’s</w:t>
      </w:r>
      <w:proofErr w:type="spellEnd"/>
      <w:r>
        <w:t xml:space="preserve"> geven geen aanleiding om ons KYC beleid aan te passen omdat we in onze KYC al alert waren op deze risico’s en op basis van de </w:t>
      </w:r>
      <w:proofErr w:type="spellStart"/>
      <w:r>
        <w:t>Wwft</w:t>
      </w:r>
      <w:proofErr w:type="spellEnd"/>
      <w:r>
        <w:t xml:space="preserve"> al cliëntenonderzoek en transactieonderzoek doen.</w:t>
      </w:r>
    </w:p>
    <w:p w14:paraId="7B4271EB" w14:textId="77777777" w:rsidR="0067005A" w:rsidRDefault="0067005A" w:rsidP="0067005A"/>
    <w:p w14:paraId="4D2CD3D0" w14:textId="77777777" w:rsidR="00C43629" w:rsidRPr="00CD0F7C" w:rsidRDefault="00C43629" w:rsidP="00C43629">
      <w:pPr>
        <w:rPr>
          <w:b/>
          <w:bCs/>
        </w:rPr>
      </w:pPr>
      <w:r w:rsidRPr="00CD0F7C">
        <w:rPr>
          <w:b/>
          <w:bCs/>
        </w:rPr>
        <w:t>Cliënten</w:t>
      </w:r>
      <w:r>
        <w:rPr>
          <w:b/>
          <w:bCs/>
        </w:rPr>
        <w:t xml:space="preserve"> en Risk </w:t>
      </w:r>
      <w:proofErr w:type="spellStart"/>
      <w:r>
        <w:rPr>
          <w:b/>
          <w:bCs/>
        </w:rPr>
        <w:t>Appetite</w:t>
      </w:r>
      <w:proofErr w:type="spellEnd"/>
    </w:p>
    <w:p w14:paraId="04A3A548" w14:textId="77777777" w:rsidR="00706529" w:rsidRPr="008E51F1" w:rsidRDefault="00706529" w:rsidP="00706529">
      <w:pPr>
        <w:rPr>
          <w:b/>
          <w:bCs/>
          <w:highlight w:val="green"/>
        </w:rPr>
      </w:pPr>
      <w:r w:rsidRPr="008E51F1">
        <w:rPr>
          <w:b/>
          <w:highlight w:val="green"/>
        </w:rPr>
        <w:fldChar w:fldCharType="begin"/>
      </w:r>
      <w:r w:rsidRPr="008E51F1">
        <w:rPr>
          <w:b/>
          <w:highlight w:val="green"/>
        </w:rPr>
        <w:instrText xml:space="preserve"> MACROBUTTON NoMacro **</w:instrText>
      </w:r>
      <w:r w:rsidRPr="008E51F1">
        <w:rPr>
          <w:b/>
          <w:highlight w:val="green"/>
        </w:rPr>
        <w:fldChar w:fldCharType="end"/>
      </w:r>
      <w:r w:rsidRPr="008E51F1">
        <w:rPr>
          <w:b/>
          <w:highlight w:val="green"/>
        </w:rPr>
        <w:t>M</w:t>
      </w:r>
      <w:r w:rsidRPr="008E51F1">
        <w:rPr>
          <w:b/>
          <w:bCs/>
          <w:highlight w:val="green"/>
        </w:rPr>
        <w:t xml:space="preserve">aak keuze wat profilering en uw risk </w:t>
      </w:r>
      <w:proofErr w:type="spellStart"/>
      <w:r w:rsidRPr="008E51F1">
        <w:rPr>
          <w:b/>
          <w:bCs/>
          <w:highlight w:val="green"/>
        </w:rPr>
        <w:t>appetite</w:t>
      </w:r>
      <w:proofErr w:type="spellEnd"/>
      <w:r w:rsidRPr="008E51F1">
        <w:rPr>
          <w:b/>
          <w:bCs/>
          <w:highlight w:val="green"/>
        </w:rPr>
        <w:t xml:space="preserve"> is en pas het onderstaande dienovereenkomstig aan: </w:t>
      </w:r>
    </w:p>
    <w:p w14:paraId="15085B87" w14:textId="77777777" w:rsidR="00706529" w:rsidRPr="008E51F1" w:rsidRDefault="00706529" w:rsidP="00706529">
      <w:pPr>
        <w:rPr>
          <w:highlight w:val="green"/>
        </w:rPr>
      </w:pPr>
      <w:r w:rsidRPr="008E51F1">
        <w:rPr>
          <w:highlight w:val="green"/>
        </w:rPr>
        <w:t xml:space="preserve">Ons kantoor bedient cliënten en adviseurs op de volgende (rechts-)gebieden: ondernemingsrecht, familierecht, huwelijksgoederen recht, </w:t>
      </w:r>
      <w:proofErr w:type="spellStart"/>
      <w:r w:rsidRPr="008E51F1">
        <w:rPr>
          <w:highlight w:val="green"/>
        </w:rPr>
        <w:t>estateplanning</w:t>
      </w:r>
      <w:proofErr w:type="spellEnd"/>
      <w:r w:rsidRPr="008E51F1">
        <w:rPr>
          <w:highlight w:val="green"/>
        </w:rPr>
        <w:t xml:space="preserve">, vastgoedrecht, compliance en </w:t>
      </w:r>
      <w:proofErr w:type="spellStart"/>
      <w:r w:rsidRPr="008E51F1">
        <w:rPr>
          <w:highlight w:val="green"/>
        </w:rPr>
        <w:t>toezichtsregelgeving</w:t>
      </w:r>
      <w:proofErr w:type="spellEnd"/>
      <w:r w:rsidRPr="008E51F1">
        <w:rPr>
          <w:highlight w:val="green"/>
        </w:rPr>
        <w:t>, zekerhedenrecht, verbintenissenrecht, fusie-en overnamepraktijk, herstructureringspraktijk, fiscale optimalisatiepraktijk, __________________, _______________.</w:t>
      </w:r>
    </w:p>
    <w:p w14:paraId="7CAC0F80" w14:textId="77777777" w:rsidR="00706529" w:rsidRPr="008E51F1" w:rsidRDefault="00706529" w:rsidP="00706529">
      <w:pPr>
        <w:rPr>
          <w:highlight w:val="green"/>
        </w:rPr>
      </w:pPr>
    </w:p>
    <w:p w14:paraId="6FDB89F3" w14:textId="77777777" w:rsidR="00706529" w:rsidRPr="008E51F1" w:rsidRDefault="00706529" w:rsidP="00706529">
      <w:pPr>
        <w:rPr>
          <w:highlight w:val="green"/>
        </w:rPr>
      </w:pPr>
      <w:r w:rsidRPr="008E51F1">
        <w:rPr>
          <w:highlight w:val="green"/>
        </w:rPr>
        <w:t>Onze cliënten en hun adviseurs opereren op lokaal/regionaal/landelijk/internationaal niveau.</w:t>
      </w:r>
    </w:p>
    <w:p w14:paraId="54481135" w14:textId="77777777" w:rsidR="00706529" w:rsidRPr="008E51F1" w:rsidRDefault="00706529" w:rsidP="00706529">
      <w:pPr>
        <w:rPr>
          <w:highlight w:val="green"/>
        </w:rPr>
      </w:pPr>
    </w:p>
    <w:p w14:paraId="6BC907AD" w14:textId="77777777" w:rsidR="00706529" w:rsidRPr="008E51F1" w:rsidRDefault="00706529" w:rsidP="00706529">
      <w:pPr>
        <w:rPr>
          <w:highlight w:val="green"/>
        </w:rPr>
      </w:pPr>
      <w:r w:rsidRPr="008E51F1">
        <w:rPr>
          <w:highlight w:val="green"/>
        </w:rPr>
        <w:t>Onze cliënten zijn voornamelijk particulieren/actief in de volgende industrieën:</w:t>
      </w:r>
    </w:p>
    <w:p w14:paraId="1A38677E" w14:textId="77777777" w:rsidR="00706529" w:rsidRPr="008E51F1" w:rsidRDefault="00706529" w:rsidP="00706529">
      <w:pPr>
        <w:rPr>
          <w:highlight w:val="green"/>
        </w:rPr>
      </w:pPr>
      <w:r w:rsidRPr="008E51F1">
        <w:rPr>
          <w:highlight w:val="green"/>
        </w:rPr>
        <w:t>______________________________________________________</w:t>
      </w:r>
    </w:p>
    <w:p w14:paraId="00E71921" w14:textId="77777777" w:rsidR="00706529" w:rsidRPr="008E51F1" w:rsidRDefault="00706529" w:rsidP="00706529">
      <w:pPr>
        <w:rPr>
          <w:highlight w:val="green"/>
        </w:rPr>
      </w:pPr>
    </w:p>
    <w:p w14:paraId="3CBBBDFC" w14:textId="77777777" w:rsidR="00706529" w:rsidRPr="008E51F1" w:rsidRDefault="00706529" w:rsidP="00706529">
      <w:pPr>
        <w:rPr>
          <w:highlight w:val="green"/>
        </w:rPr>
      </w:pPr>
      <w:r w:rsidRPr="008E51F1">
        <w:rPr>
          <w:highlight w:val="green"/>
        </w:rPr>
        <w:t>Ons kantoor profileert zich als: stadskantoor/regio kantoor/nationaal kantoor/internationaal kantoor</w:t>
      </w:r>
    </w:p>
    <w:p w14:paraId="097452D4" w14:textId="77777777" w:rsidR="00706529" w:rsidRPr="008E51F1" w:rsidRDefault="00706529" w:rsidP="00706529">
      <w:pPr>
        <w:rPr>
          <w:highlight w:val="green"/>
        </w:rPr>
      </w:pPr>
    </w:p>
    <w:p w14:paraId="4E9A4BA2" w14:textId="77777777" w:rsidR="00706529" w:rsidRPr="008E51F1" w:rsidRDefault="00706529" w:rsidP="00706529">
      <w:pPr>
        <w:rPr>
          <w:highlight w:val="green"/>
        </w:rPr>
      </w:pPr>
      <w:r w:rsidRPr="008E51F1">
        <w:rPr>
          <w:highlight w:val="green"/>
        </w:rPr>
        <w:t>met een algemene praktijk/ familierecht praktijk/</w:t>
      </w:r>
      <w:proofErr w:type="spellStart"/>
      <w:r w:rsidRPr="008E51F1">
        <w:rPr>
          <w:highlight w:val="green"/>
        </w:rPr>
        <w:t>Estateplanningspraktijk</w:t>
      </w:r>
      <w:proofErr w:type="spellEnd"/>
      <w:r w:rsidRPr="008E51F1">
        <w:rPr>
          <w:highlight w:val="green"/>
        </w:rPr>
        <w:t>/vastgoed praktijk/ondernemingsrecht praktijk/specialist op een van deze rechtsgebieden/____________</w:t>
      </w:r>
    </w:p>
    <w:p w14:paraId="10545DAC" w14:textId="77777777" w:rsidR="00706529" w:rsidRPr="008E51F1" w:rsidRDefault="00706529" w:rsidP="00706529">
      <w:pPr>
        <w:rPr>
          <w:highlight w:val="green"/>
        </w:rPr>
      </w:pPr>
    </w:p>
    <w:p w14:paraId="0F9A3E78" w14:textId="77777777" w:rsidR="00706529" w:rsidRPr="008E51F1" w:rsidRDefault="00706529" w:rsidP="00706529">
      <w:pPr>
        <w:rPr>
          <w:highlight w:val="green"/>
        </w:rPr>
      </w:pPr>
      <w:r w:rsidRPr="008E51F1">
        <w:rPr>
          <w:highlight w:val="green"/>
        </w:rPr>
        <w:t>Door onze profilering zullen cliënten en hun adviseurs die afkomen op dat profiel doorgaans een laag risico op witwassen en financiering van terrorisme in zich bergen.</w:t>
      </w:r>
    </w:p>
    <w:p w14:paraId="2B5B30CD" w14:textId="77777777" w:rsidR="00706529" w:rsidRPr="008E51F1" w:rsidRDefault="00706529" w:rsidP="00706529">
      <w:pPr>
        <w:rPr>
          <w:highlight w:val="green"/>
        </w:rPr>
      </w:pPr>
    </w:p>
    <w:p w14:paraId="646BEC95" w14:textId="77777777" w:rsidR="00706529" w:rsidRPr="008E51F1" w:rsidRDefault="00706529" w:rsidP="00706529">
      <w:pPr>
        <w:rPr>
          <w:highlight w:val="green"/>
        </w:rPr>
      </w:pPr>
      <w:r w:rsidRPr="008E51F1">
        <w:rPr>
          <w:highlight w:val="green"/>
        </w:rPr>
        <w:t>De eerder genoemde NRA geeft ons vooralsnog geen aanleiding ons risicobeleid aan te passen.</w:t>
      </w:r>
    </w:p>
    <w:p w14:paraId="1B5FEE3E" w14:textId="77777777" w:rsidR="00706529" w:rsidRPr="008E51F1" w:rsidRDefault="00706529" w:rsidP="00706529">
      <w:pPr>
        <w:rPr>
          <w:highlight w:val="green"/>
        </w:rPr>
      </w:pPr>
    </w:p>
    <w:p w14:paraId="4A437965" w14:textId="77777777" w:rsidR="00706529" w:rsidRPr="008E51F1" w:rsidRDefault="00706529" w:rsidP="00706529">
      <w:pPr>
        <w:rPr>
          <w:highlight w:val="green"/>
        </w:rPr>
      </w:pPr>
      <w:r w:rsidRPr="008E51F1">
        <w:rPr>
          <w:highlight w:val="green"/>
        </w:rPr>
        <w:t xml:space="preserve">Welk cliëntenonderzoek (vereenvoudigd, normaal of verscherpt) wordt toegepast, komt vast te staan na de risicobeoordeling van de cliënt, de ultimate </w:t>
      </w:r>
      <w:proofErr w:type="spellStart"/>
      <w:r w:rsidRPr="008E51F1">
        <w:rPr>
          <w:highlight w:val="green"/>
        </w:rPr>
        <w:t>beneficial</w:t>
      </w:r>
      <w:proofErr w:type="spellEnd"/>
      <w:r w:rsidRPr="008E51F1">
        <w:rPr>
          <w:highlight w:val="green"/>
        </w:rPr>
        <w:t xml:space="preserve"> </w:t>
      </w:r>
      <w:proofErr w:type="spellStart"/>
      <w:r w:rsidRPr="008E51F1">
        <w:rPr>
          <w:highlight w:val="green"/>
        </w:rPr>
        <w:t>owners</w:t>
      </w:r>
      <w:proofErr w:type="spellEnd"/>
      <w:r w:rsidRPr="008E51F1">
        <w:rPr>
          <w:highlight w:val="green"/>
        </w:rPr>
        <w:t xml:space="preserve"> en de transactie, zoals uiteengezet in het draaiboek als bedoeld in hoofdstuk 2. </w:t>
      </w:r>
    </w:p>
    <w:p w14:paraId="1994EC5D" w14:textId="77777777" w:rsidR="00706529" w:rsidRPr="008E51F1" w:rsidRDefault="00706529" w:rsidP="00706529">
      <w:pPr>
        <w:rPr>
          <w:highlight w:val="green"/>
        </w:rPr>
      </w:pPr>
    </w:p>
    <w:p w14:paraId="013C6901" w14:textId="46657B16" w:rsidR="00706529" w:rsidRPr="008E51F1" w:rsidRDefault="00706529" w:rsidP="00706529">
      <w:pPr>
        <w:rPr>
          <w:highlight w:val="green"/>
        </w:rPr>
      </w:pPr>
      <w:r w:rsidRPr="008E51F1">
        <w:rPr>
          <w:highlight w:val="green"/>
        </w:rPr>
        <w:t xml:space="preserve">Wij zijn bekend met het feit dat er onduidelijkheid bestaat over de verschillen tussen een vereenvoudigd, een regulier en een verscherpt cliëntenonderzoek. Omdat ons kantoor (evenals alle andere </w:t>
      </w:r>
      <w:proofErr w:type="spellStart"/>
      <w:r w:rsidRPr="008E51F1">
        <w:rPr>
          <w:highlight w:val="green"/>
        </w:rPr>
        <w:t>Wwft</w:t>
      </w:r>
      <w:proofErr w:type="spellEnd"/>
      <w:r w:rsidRPr="008E51F1">
        <w:rPr>
          <w:highlight w:val="green"/>
        </w:rPr>
        <w:t xml:space="preserve">-instellingen) altijd een melding wegens een ongebruikelijke transactie moet kunnen doen, moet er ongeacht de intensiteit van het cliëntenonderzoek een </w:t>
      </w:r>
      <w:proofErr w:type="spellStart"/>
      <w:r w:rsidRPr="008E51F1">
        <w:rPr>
          <w:highlight w:val="green"/>
        </w:rPr>
        <w:t>basisset</w:t>
      </w:r>
      <w:proofErr w:type="spellEnd"/>
      <w:r w:rsidRPr="008E51F1">
        <w:rPr>
          <w:highlight w:val="green"/>
        </w:rPr>
        <w:t xml:space="preserve"> aan gegevens over de cliënt, de transactie en de ultimate </w:t>
      </w:r>
      <w:proofErr w:type="spellStart"/>
      <w:r w:rsidRPr="008E51F1">
        <w:rPr>
          <w:highlight w:val="green"/>
        </w:rPr>
        <w:t>beneficial</w:t>
      </w:r>
      <w:proofErr w:type="spellEnd"/>
      <w:r w:rsidRPr="008E51F1">
        <w:rPr>
          <w:highlight w:val="green"/>
        </w:rPr>
        <w:t xml:space="preserve"> </w:t>
      </w:r>
      <w:proofErr w:type="spellStart"/>
      <w:r w:rsidRPr="008E51F1">
        <w:rPr>
          <w:highlight w:val="green"/>
        </w:rPr>
        <w:t>owners</w:t>
      </w:r>
      <w:proofErr w:type="spellEnd"/>
      <w:r w:rsidRPr="008E51F1">
        <w:rPr>
          <w:highlight w:val="green"/>
        </w:rPr>
        <w:t xml:space="preserve"> worden verzameld. In het draaiboek als bedoeld in hoofdstuk 2 wordt uiteengezet welke gegevens dat zijn</w:t>
      </w:r>
      <w:r w:rsidR="00DC4C60">
        <w:rPr>
          <w:highlight w:val="green"/>
        </w:rPr>
        <w:t>. Door de inzet van de AML-Tool kunnen wij hier volledig aan voldoen</w:t>
      </w:r>
      <w:r w:rsidRPr="008E51F1">
        <w:rPr>
          <w:highlight w:val="green"/>
        </w:rPr>
        <w:t xml:space="preserve">. </w:t>
      </w:r>
    </w:p>
    <w:p w14:paraId="05950E34" w14:textId="77777777" w:rsidR="00706529" w:rsidRPr="008E51F1" w:rsidRDefault="00706529" w:rsidP="00706529">
      <w:pPr>
        <w:rPr>
          <w:highlight w:val="green"/>
        </w:rPr>
      </w:pPr>
    </w:p>
    <w:p w14:paraId="424E9544" w14:textId="77777777" w:rsidR="00706529" w:rsidRPr="008E51F1" w:rsidRDefault="00706529" w:rsidP="00706529">
      <w:pPr>
        <w:rPr>
          <w:highlight w:val="green"/>
        </w:rPr>
      </w:pPr>
      <w:r w:rsidRPr="008E51F1">
        <w:rPr>
          <w:highlight w:val="green"/>
        </w:rPr>
        <w:t>In het algemeen kan bij de cliënten die binnen ons risicoprofiel passen, worden volstaan met een normaal cliëntenonderzoek, tenzij er op grond van de risicobeoordeling aanleiding is tot intensiever onderzoek, in welk geval een verscherpt cliëntenonderzoek zal worden uitgevoerd</w:t>
      </w:r>
    </w:p>
    <w:p w14:paraId="5BC135C4" w14:textId="77777777" w:rsidR="00706529" w:rsidRPr="008E51F1" w:rsidRDefault="00706529" w:rsidP="00706529">
      <w:pPr>
        <w:rPr>
          <w:highlight w:val="green"/>
        </w:rPr>
      </w:pPr>
    </w:p>
    <w:p w14:paraId="1E38758D" w14:textId="77777777" w:rsidR="00706529" w:rsidRDefault="00706529" w:rsidP="00706529">
      <w:r w:rsidRPr="008E51F1">
        <w:rPr>
          <w:highlight w:val="green"/>
        </w:rPr>
        <w:t>Passen de cliënten binnen ons risicoprofiel en zijn de potentieel lagere risicofactoren uit Bijlage 2 van de Vierde anti-witwasrichtlijn van toepassing, dan kan worden volstaan met een vereenvoudigd cliëntenonderzoek, tenzij er op grond van de risicobeoordeling aanleiding is tot intensiever onderzoek, in welk geval een normaal cliëntenonderzoek of een verscherpt cliëntenonderzoek zal worden uitgevoerd. In het draaiboek als bedoeld in hoofdstuk 2 zijn de lagere risicofactoren vermeld.</w:t>
      </w:r>
      <w:r>
        <w:t xml:space="preserve"> </w:t>
      </w:r>
    </w:p>
    <w:p w14:paraId="5DDD6460" w14:textId="77777777" w:rsidR="004A57AB" w:rsidRDefault="004A57AB" w:rsidP="00BE036A"/>
    <w:p w14:paraId="4B4DC942" w14:textId="77777777" w:rsidR="00C43629"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1</w:t>
      </w:r>
      <w:r w:rsidRPr="0051354F">
        <w:rPr>
          <w:b/>
          <w:bCs/>
          <w:color w:val="FF0000"/>
        </w:rPr>
        <w:t>:</w:t>
      </w:r>
    </w:p>
    <w:p w14:paraId="58711176" w14:textId="177053DB" w:rsidR="00C43629" w:rsidRDefault="00C43629" w:rsidP="00C43629">
      <w:r>
        <w:t>Opdrachten die buiten de scope van onze profilering liggen, dienen te worden bestempeld als verhoogd risico en worden te allen tijde onderworpen aan een verscherpt cliëntenonderzoek.</w:t>
      </w:r>
    </w:p>
    <w:p w14:paraId="04B7AF1E"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p>
    <w:p w14:paraId="15C5BDCF" w14:textId="77777777" w:rsidR="00C43629" w:rsidRDefault="00C43629" w:rsidP="00C43629"/>
    <w:p w14:paraId="1563ACE1" w14:textId="77777777" w:rsidR="00C43629"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r w:rsidRPr="0051354F">
        <w:rPr>
          <w:b/>
          <w:bCs/>
          <w:color w:val="FF0000"/>
        </w:rPr>
        <w:t>:</w:t>
      </w:r>
    </w:p>
    <w:p w14:paraId="5E0F729B" w14:textId="05285B99" w:rsidR="00C43629" w:rsidRDefault="00C43629" w:rsidP="00C43629">
      <w:r>
        <w:t xml:space="preserve">Opdrachten die buiten de scope van onze profilering liggen, nemen we niet aan, tenzij de compliance </w:t>
      </w:r>
      <w:proofErr w:type="spellStart"/>
      <w:r>
        <w:t>officer</w:t>
      </w:r>
      <w:proofErr w:type="spellEnd"/>
      <w:r>
        <w:t xml:space="preserve"> anders beslist, welke beslissing in </w:t>
      </w:r>
      <w:r w:rsidR="00DC4C60">
        <w:t>de AML-Tool</w:t>
      </w:r>
      <w:r>
        <w:t xml:space="preserve"> moet worden opgenomen. </w:t>
      </w:r>
    </w:p>
    <w:p w14:paraId="11AC9E4C"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16790179" w14:textId="6DCFF80D" w:rsidR="00BE036A" w:rsidRDefault="00BE036A" w:rsidP="00BE036A"/>
    <w:p w14:paraId="260004BF" w14:textId="784EC1BD" w:rsidR="00C2101B" w:rsidRDefault="00C2101B" w:rsidP="00C2101B">
      <w:r>
        <w:t>D</w:t>
      </w:r>
      <w:r w:rsidR="0051354F">
        <w:t>e</w:t>
      </w:r>
      <w:r>
        <w:t xml:space="preserve"> </w:t>
      </w:r>
      <w:r w:rsidR="004A57AB">
        <w:t xml:space="preserve">risicobeoordeling van de cliënt, de ultimate </w:t>
      </w:r>
      <w:proofErr w:type="spellStart"/>
      <w:r w:rsidR="004A57AB">
        <w:t>beneficial</w:t>
      </w:r>
      <w:proofErr w:type="spellEnd"/>
      <w:r w:rsidR="004A57AB">
        <w:t xml:space="preserve"> </w:t>
      </w:r>
      <w:proofErr w:type="spellStart"/>
      <w:r w:rsidR="004A57AB">
        <w:t>owners</w:t>
      </w:r>
      <w:proofErr w:type="spellEnd"/>
      <w:r w:rsidR="004A57AB">
        <w:t xml:space="preserve"> en de transactie, alsmede de </w:t>
      </w:r>
      <w:r>
        <w:t xml:space="preserve">uitkomst van dit onderzoek kan aanleiding geven om een Vereenvoudigd cliëntenonderzoek op te schalen naar een Normaal cliëntenonderzoek en om een Normaal cliëntenonderzoek op te schalen naar een Verscherpt cliëntenonderzoek. Maak hiervan melding in </w:t>
      </w:r>
      <w:r w:rsidR="00DC4C60">
        <w:t>de AML-Tool</w:t>
      </w:r>
      <w:r>
        <w:t>.</w:t>
      </w:r>
    </w:p>
    <w:p w14:paraId="7BEB8502" w14:textId="77777777" w:rsidR="00C43629" w:rsidRDefault="00C43629" w:rsidP="00BE036A"/>
    <w:p w14:paraId="4D41C99F" w14:textId="464A9A29" w:rsidR="00C43629" w:rsidRDefault="00C43629" w:rsidP="00C43629">
      <w:r>
        <w:t xml:space="preserve">De compliance </w:t>
      </w:r>
      <w:proofErr w:type="spellStart"/>
      <w:r>
        <w:t>officer</w:t>
      </w:r>
      <w:proofErr w:type="spellEnd"/>
      <w:r>
        <w:t xml:space="preserve"> agendeert 25 juli van elk jaar de noodzaak dit risicoprofiel te herijken en de uitslag daarvan met de kantoorgenoten te delen. </w:t>
      </w:r>
      <w:r w:rsidRPr="00490ABE">
        <w:rPr>
          <w:highlight w:val="yellow"/>
        </w:rPr>
        <w:fldChar w:fldCharType="begin"/>
      </w:r>
      <w:r w:rsidRPr="00490ABE">
        <w:rPr>
          <w:highlight w:val="yellow"/>
        </w:rPr>
        <w:instrText xml:space="preserve"> MACROBUTTON NoMacro **</w:instrText>
      </w:r>
      <w:r w:rsidRPr="00490ABE">
        <w:rPr>
          <w:highlight w:val="yellow"/>
        </w:rPr>
        <w:fldChar w:fldCharType="end"/>
      </w:r>
      <w:r w:rsidRPr="00490ABE">
        <w:rPr>
          <w:highlight w:val="yellow"/>
        </w:rPr>
        <w:t>Voer dit daadwerkelijk uit</w:t>
      </w:r>
    </w:p>
    <w:p w14:paraId="4CB9DA2F" w14:textId="77777777" w:rsidR="00A0079A" w:rsidRDefault="00A0079A" w:rsidP="00BE036A"/>
    <w:p w14:paraId="10F4150B" w14:textId="49152E5A" w:rsidR="00BE036A" w:rsidRPr="001E2A39" w:rsidRDefault="00BE036A" w:rsidP="00BE036A">
      <w:pPr>
        <w:rPr>
          <w:b/>
        </w:rPr>
      </w:pPr>
      <w:r w:rsidRPr="001E2A39">
        <w:rPr>
          <w:b/>
        </w:rPr>
        <w:t xml:space="preserve">2. Beleid, gedragslijnen, procedures en maatregelen (art. 2c lid 1 </w:t>
      </w:r>
      <w:proofErr w:type="spellStart"/>
      <w:r w:rsidRPr="001E2A39">
        <w:rPr>
          <w:b/>
        </w:rPr>
        <w:t>W</w:t>
      </w:r>
      <w:r w:rsidR="002835AF">
        <w:rPr>
          <w:b/>
        </w:rPr>
        <w:t>wft</w:t>
      </w:r>
      <w:proofErr w:type="spellEnd"/>
      <w:r w:rsidRPr="001E2A39">
        <w:rPr>
          <w:b/>
        </w:rPr>
        <w:t xml:space="preserve"> 2018)</w:t>
      </w:r>
    </w:p>
    <w:p w14:paraId="3041A266" w14:textId="32916252" w:rsidR="00C43629" w:rsidRDefault="00C43629" w:rsidP="00C43629">
      <w:pPr>
        <w:rPr>
          <w:b/>
        </w:rPr>
      </w:pPr>
    </w:p>
    <w:p w14:paraId="5720ADD7" w14:textId="77777777" w:rsidR="00C43629"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1</w:t>
      </w:r>
      <w:r w:rsidRPr="0051354F">
        <w:rPr>
          <w:b/>
          <w:bCs/>
          <w:color w:val="FF0000"/>
        </w:rPr>
        <w:t>:</w:t>
      </w:r>
    </w:p>
    <w:p w14:paraId="60FFF5EC" w14:textId="0E75C559" w:rsidR="00C43629" w:rsidRDefault="00C43629" w:rsidP="00C43629">
      <w:r>
        <w:t xml:space="preserve">Ons kantoor heeft ervoor gekozen om de </w:t>
      </w:r>
      <w:proofErr w:type="spellStart"/>
      <w:r>
        <w:t>Wwft</w:t>
      </w:r>
      <w:proofErr w:type="spellEnd"/>
      <w:r>
        <w:t xml:space="preserve"> op elk dossier toe te passen, omdat we de client </w:t>
      </w:r>
      <w:proofErr w:type="spellStart"/>
      <w:r>
        <w:t>acceptance</w:t>
      </w:r>
      <w:proofErr w:type="spellEnd"/>
      <w:r>
        <w:t xml:space="preserve"> volgens die procedure hoogst in het belang van een gezonde cliëntenpopulatie achten en ons kantoor niet willen blootstellen aan onnodige risico’s </w:t>
      </w:r>
    </w:p>
    <w:p w14:paraId="568A5AE4"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r w:rsidRPr="0051354F">
        <w:rPr>
          <w:b/>
          <w:bCs/>
          <w:color w:val="FF0000"/>
        </w:rPr>
        <w:t>:</w:t>
      </w:r>
    </w:p>
    <w:p w14:paraId="4606FCA1" w14:textId="77777777" w:rsidR="00C43629"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r w:rsidRPr="0051354F">
        <w:rPr>
          <w:b/>
          <w:bCs/>
          <w:color w:val="FF0000"/>
        </w:rPr>
        <w:t>:</w:t>
      </w:r>
    </w:p>
    <w:p w14:paraId="14CDB5D9" w14:textId="1BB9E806" w:rsidR="00C43629" w:rsidRDefault="00C43629" w:rsidP="00C43629">
      <w:r>
        <w:t xml:space="preserve">Ons kantoor heeft ervoor gekozen de </w:t>
      </w:r>
      <w:proofErr w:type="spellStart"/>
      <w:r>
        <w:t>Wwft</w:t>
      </w:r>
      <w:proofErr w:type="spellEnd"/>
      <w:r>
        <w:t xml:space="preserve"> uitsluitend toe te passen op dossiers waarop die wet uitdrukkelijk van toepassing is verklaard (dus niet voor opdrachten op het gebied van het familierecht).</w:t>
      </w:r>
    </w:p>
    <w:p w14:paraId="32C5F137"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r w:rsidRPr="0051354F">
        <w:rPr>
          <w:b/>
          <w:bCs/>
          <w:color w:val="FF0000"/>
        </w:rPr>
        <w:t>:</w:t>
      </w:r>
    </w:p>
    <w:p w14:paraId="6542A919" w14:textId="77777777" w:rsidR="00BE036A" w:rsidRDefault="00BE036A" w:rsidP="00BE036A"/>
    <w:p w14:paraId="495E2183" w14:textId="7BBD0586" w:rsidR="00BE036A" w:rsidRDefault="00BE036A" w:rsidP="00BE036A">
      <w:r>
        <w:t xml:space="preserve">Bij wijze van </w:t>
      </w:r>
      <w:proofErr w:type="spellStart"/>
      <w:r>
        <w:t>incorporation</w:t>
      </w:r>
      <w:proofErr w:type="spellEnd"/>
      <w:r>
        <w:t xml:space="preserve"> </w:t>
      </w:r>
      <w:proofErr w:type="spellStart"/>
      <w:r>
        <w:t>b</w:t>
      </w:r>
      <w:r w:rsidR="00205E6D">
        <w:t>y</w:t>
      </w:r>
      <w:proofErr w:type="spellEnd"/>
      <w:r>
        <w:t xml:space="preserve"> </w:t>
      </w:r>
      <w:proofErr w:type="spellStart"/>
      <w:r>
        <w:t>reference</w:t>
      </w:r>
      <w:proofErr w:type="spellEnd"/>
      <w:r>
        <w:t xml:space="preserve"> wordt het </w:t>
      </w:r>
      <w:r w:rsidR="00AF4269">
        <w:t>d</w:t>
      </w:r>
      <w:r>
        <w:t xml:space="preserve">raaiboek identificatie op grond van de </w:t>
      </w:r>
      <w:r w:rsidR="00205E6D">
        <w:t>W</w:t>
      </w:r>
      <w:r>
        <w:t xml:space="preserve">et ter voorkoming van witwassen en financieren van terrorisme hier in geacht woordelijk te zijn opgenomen. Dit draaiboek is permanent </w:t>
      </w:r>
      <w:r w:rsidR="00235CE8">
        <w:t xml:space="preserve">te downloaden </w:t>
      </w:r>
      <w:r>
        <w:t>via de volgende link</w:t>
      </w:r>
      <w:r w:rsidR="004910A5">
        <w:t>:</w:t>
      </w:r>
      <w:r w:rsidRPr="007C247B">
        <w:t xml:space="preserve"> </w:t>
      </w:r>
      <w:hyperlink r:id="rId14" w:history="1">
        <w:r w:rsidRPr="00120249">
          <w:rPr>
            <w:rStyle w:val="Hyperlink"/>
          </w:rPr>
          <w:t>https://modellen.praktijkgenerator.nl/</w:t>
        </w:r>
      </w:hyperlink>
      <w:r>
        <w:t>, ga naar de map Algemeen/Draaiboeken/</w:t>
      </w:r>
      <w:r w:rsidR="00C904E8">
        <w:t>Identificatie/</w:t>
      </w:r>
      <w:r>
        <w:t xml:space="preserve">DraaiboekALG001 draaiboek identificatie </w:t>
      </w:r>
      <w:proofErr w:type="spellStart"/>
      <w:r>
        <w:t>cli</w:t>
      </w:r>
      <w:r w:rsidR="00205E6D">
        <w:t>e</w:t>
      </w:r>
      <w:r>
        <w:t>nten</w:t>
      </w:r>
      <w:proofErr w:type="spellEnd"/>
      <w:r>
        <w:t xml:space="preserve"> W</w:t>
      </w:r>
      <w:r w:rsidR="00235CE8">
        <w:t>WFT</w:t>
      </w:r>
      <w:r>
        <w:t>.</w:t>
      </w:r>
      <w:r w:rsidR="00DC4C60">
        <w:t xml:space="preserve"> Dit draaiboek in de basis voor </w:t>
      </w:r>
      <w:r w:rsidR="005D641A">
        <w:t>de AML-Tool.</w:t>
      </w:r>
    </w:p>
    <w:p w14:paraId="00D2A13D" w14:textId="77777777" w:rsidR="00A0079A" w:rsidRDefault="00A0079A" w:rsidP="00BE036A"/>
    <w:p w14:paraId="2B806186" w14:textId="0FF24FF7" w:rsidR="00BE036A" w:rsidRDefault="00A0079A" w:rsidP="00BE036A">
      <w:r>
        <w:t>W</w:t>
      </w:r>
      <w:r w:rsidR="00BE036A">
        <w:t xml:space="preserve">e hebben ervoor gekozen de tekst van het </w:t>
      </w:r>
      <w:r w:rsidR="00AF4269">
        <w:t>d</w:t>
      </w:r>
      <w:r w:rsidR="00BE036A">
        <w:t>raaiboek hier niet woordelijk weer te geven, omdat het te verwachten valt dat de komende periode de nodige wijzigingen op grond van nieuwe inzichten, waarschuwingen van het B</w:t>
      </w:r>
      <w:r w:rsidR="00205E6D">
        <w:t>FT</w:t>
      </w:r>
      <w:r w:rsidR="00A006AE">
        <w:t xml:space="preserve"> en van de auditoren van de KNB</w:t>
      </w:r>
      <w:r w:rsidR="009213EB">
        <w:t xml:space="preserve"> </w:t>
      </w:r>
      <w:r w:rsidR="00BE036A">
        <w:t xml:space="preserve">en nieuwe best </w:t>
      </w:r>
      <w:proofErr w:type="spellStart"/>
      <w:r w:rsidR="00BE036A">
        <w:t>practices</w:t>
      </w:r>
      <w:proofErr w:type="spellEnd"/>
      <w:r w:rsidR="00BE036A">
        <w:t xml:space="preserve"> te verwachten vallen.</w:t>
      </w:r>
      <w:r w:rsidR="005D641A">
        <w:t xml:space="preserve"> Deze aanpassingen word</w:t>
      </w:r>
      <w:r w:rsidR="000352D2">
        <w:t>e</w:t>
      </w:r>
      <w:r w:rsidR="005D641A">
        <w:t xml:space="preserve">n </w:t>
      </w:r>
      <w:r w:rsidR="000352D2">
        <w:t xml:space="preserve">volgens mededeling van de ontwikkelaars van de AML-Tool </w:t>
      </w:r>
      <w:r w:rsidR="005D641A">
        <w:t>ook verwerkt in de AML-Tool.</w:t>
      </w:r>
    </w:p>
    <w:p w14:paraId="772A2CA4" w14:textId="77777777" w:rsidR="00BE036A" w:rsidRDefault="00BE036A" w:rsidP="00BE036A"/>
    <w:p w14:paraId="27FF888D" w14:textId="25111C87" w:rsidR="00BE036A" w:rsidRPr="001E2A39" w:rsidRDefault="00BE036A" w:rsidP="00BE036A">
      <w:pPr>
        <w:rPr>
          <w:b/>
        </w:rPr>
      </w:pPr>
      <w:r w:rsidRPr="001E2A39">
        <w:rPr>
          <w:b/>
        </w:rPr>
        <w:t xml:space="preserve">3. </w:t>
      </w:r>
      <w:proofErr w:type="spellStart"/>
      <w:r w:rsidRPr="001E2A39">
        <w:rPr>
          <w:b/>
        </w:rPr>
        <w:t>W</w:t>
      </w:r>
      <w:r w:rsidR="00205E6D">
        <w:rPr>
          <w:b/>
        </w:rPr>
        <w:t>wft</w:t>
      </w:r>
      <w:proofErr w:type="spellEnd"/>
      <w:r w:rsidRPr="001E2A39">
        <w:rPr>
          <w:b/>
        </w:rPr>
        <w:t xml:space="preserve">-verantwoordelijke en </w:t>
      </w:r>
      <w:proofErr w:type="spellStart"/>
      <w:r w:rsidRPr="001E2A39">
        <w:rPr>
          <w:b/>
        </w:rPr>
        <w:t>W</w:t>
      </w:r>
      <w:r w:rsidR="00205E6D">
        <w:rPr>
          <w:b/>
        </w:rPr>
        <w:t>wft</w:t>
      </w:r>
      <w:proofErr w:type="spellEnd"/>
      <w:r w:rsidRPr="001E2A39">
        <w:rPr>
          <w:b/>
        </w:rPr>
        <w:t xml:space="preserve">-functionaris (art. 2d </w:t>
      </w:r>
      <w:proofErr w:type="spellStart"/>
      <w:r w:rsidRPr="001E2A39">
        <w:rPr>
          <w:b/>
        </w:rPr>
        <w:t>W</w:t>
      </w:r>
      <w:r w:rsidR="00205E6D">
        <w:rPr>
          <w:b/>
        </w:rPr>
        <w:t>wft</w:t>
      </w:r>
      <w:proofErr w:type="spellEnd"/>
      <w:r w:rsidRPr="001E2A39">
        <w:rPr>
          <w:b/>
        </w:rPr>
        <w:t xml:space="preserve"> 2018)</w:t>
      </w:r>
    </w:p>
    <w:p w14:paraId="112659EC" w14:textId="77777777" w:rsidR="00BE036A" w:rsidRDefault="00BE036A" w:rsidP="00BE036A"/>
    <w:p w14:paraId="07547E44" w14:textId="77777777" w:rsidR="00BE036A" w:rsidRDefault="00BE036A" w:rsidP="00BE036A">
      <w:r>
        <w:t xml:space="preserve">Notaris __________ is aangewezen als compliance </w:t>
      </w:r>
      <w:proofErr w:type="spellStart"/>
      <w:r>
        <w:t>officer</w:t>
      </w:r>
      <w:proofErr w:type="spellEnd"/>
      <w:r w:rsidR="00A0079A">
        <w:t xml:space="preserve"> en ______________ is aangewezen als opvolgende compliance </w:t>
      </w:r>
      <w:proofErr w:type="spellStart"/>
      <w:r w:rsidR="00A0079A">
        <w:t>officer</w:t>
      </w:r>
      <w:proofErr w:type="spellEnd"/>
      <w:r>
        <w:t>.</w:t>
      </w:r>
    </w:p>
    <w:p w14:paraId="4F7CADC6" w14:textId="0B98984D" w:rsidR="00BE036A" w:rsidRDefault="00BE036A" w:rsidP="00BE036A"/>
    <w:p w14:paraId="5F2A222F" w14:textId="77777777" w:rsidR="00C43629" w:rsidRPr="0051354F" w:rsidRDefault="00C43629" w:rsidP="00C43629">
      <w:pPr>
        <w:rPr>
          <w:b/>
          <w:bCs/>
          <w:color w:val="FF0000"/>
        </w:rPr>
      </w:pPr>
      <w:r>
        <w:rPr>
          <w:b/>
          <w:bCs/>
          <w:color w:val="FF0000"/>
        </w:rPr>
        <w:t>Alternatief 1</w:t>
      </w:r>
      <w:r w:rsidRPr="0051354F">
        <w:rPr>
          <w:b/>
          <w:bCs/>
          <w:color w:val="FF0000"/>
        </w:rPr>
        <w:t xml:space="preserve">: </w:t>
      </w:r>
    </w:p>
    <w:p w14:paraId="6E6E5C22" w14:textId="77777777" w:rsidR="00C43629" w:rsidRDefault="00C43629" w:rsidP="00C43629">
      <w:r>
        <w:t>Gezien de omvang</w:t>
      </w:r>
      <w:r>
        <w:rPr>
          <w:rStyle w:val="Voetnootmarkering"/>
        </w:rPr>
        <w:footnoteReference w:id="1"/>
      </w:r>
      <w:r>
        <w:t xml:space="preserve"> van onze organisatie hebben wij ervoor gekozen _________________ als onafhankelijke Audit functionaris als bedoeld in artikel 2d lid 4 </w:t>
      </w:r>
      <w:proofErr w:type="spellStart"/>
      <w:r>
        <w:t>Wwft</w:t>
      </w:r>
      <w:proofErr w:type="spellEnd"/>
      <w:r>
        <w:t xml:space="preserve"> aan te stellen en ______________________ als opvolgende onafhankelijke Audit functionaris.</w:t>
      </w:r>
    </w:p>
    <w:p w14:paraId="1AD1763F" w14:textId="77777777" w:rsidR="00C43629" w:rsidRPr="0051354F"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p>
    <w:p w14:paraId="70B205F5" w14:textId="77777777" w:rsidR="00C43629" w:rsidRPr="0051354F"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r w:rsidRPr="0051354F">
        <w:rPr>
          <w:b/>
          <w:bCs/>
          <w:color w:val="FF0000"/>
        </w:rPr>
        <w:t xml:space="preserve">: </w:t>
      </w:r>
    </w:p>
    <w:p w14:paraId="789B753F" w14:textId="77777777" w:rsidR="00C43629" w:rsidRDefault="00C43629" w:rsidP="00C43629">
      <w:r>
        <w:t>Gezien de omvang</w:t>
      </w:r>
      <w:r>
        <w:rPr>
          <w:rStyle w:val="Voetnootmarkering"/>
        </w:rPr>
        <w:footnoteReference w:id="2"/>
      </w:r>
      <w:r>
        <w:t xml:space="preserve"> van onze organisatie hebben wij ervoor gekozen geen onafhankelijke Audit functionaris als bedoeld in artikel 2d lid 4 </w:t>
      </w:r>
      <w:proofErr w:type="spellStart"/>
      <w:r>
        <w:t>Wwft</w:t>
      </w:r>
      <w:proofErr w:type="spellEnd"/>
      <w:r>
        <w:t xml:space="preserve"> aan te stellen.</w:t>
      </w:r>
    </w:p>
    <w:p w14:paraId="7EEDEBCB" w14:textId="77777777" w:rsidR="00C43629" w:rsidRPr="0051354F" w:rsidRDefault="00C43629" w:rsidP="00C43629">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100A3377" w14:textId="77777777" w:rsidR="0051354F" w:rsidRDefault="0051354F"/>
    <w:p w14:paraId="7D23722C" w14:textId="47B2D4F1" w:rsidR="00BE036A" w:rsidRPr="001E2A39" w:rsidRDefault="00BE036A" w:rsidP="00BE036A">
      <w:pPr>
        <w:rPr>
          <w:b/>
        </w:rPr>
      </w:pPr>
      <w:r w:rsidRPr="001E2A39">
        <w:rPr>
          <w:b/>
        </w:rPr>
        <w:t xml:space="preserve">4. Cliëntacceptatieprocedure (Hoofdstuk 2 </w:t>
      </w:r>
      <w:proofErr w:type="spellStart"/>
      <w:r w:rsidRPr="001E2A39">
        <w:rPr>
          <w:b/>
        </w:rPr>
        <w:t>W</w:t>
      </w:r>
      <w:r w:rsidR="00205E6D">
        <w:rPr>
          <w:b/>
        </w:rPr>
        <w:t>wft</w:t>
      </w:r>
      <w:proofErr w:type="spellEnd"/>
      <w:r w:rsidRPr="001E2A39">
        <w:rPr>
          <w:b/>
        </w:rPr>
        <w:t xml:space="preserve"> 2018)</w:t>
      </w:r>
    </w:p>
    <w:p w14:paraId="53DFFBBE" w14:textId="77777777" w:rsidR="00BE036A" w:rsidRDefault="00BE036A" w:rsidP="00BE036A"/>
    <w:p w14:paraId="52C9884E" w14:textId="3B392697" w:rsidR="00BE036A" w:rsidRDefault="00BE036A" w:rsidP="00BE036A">
      <w:r>
        <w:t xml:space="preserve">Bij de aanmelding van een nieuwe cliënt of van een reeds bekende cliënt, </w:t>
      </w:r>
      <w:r w:rsidR="005D641A">
        <w:t>voeren we het cliëntenonderzoek uit met gebruikmaking van de AML-Tool</w:t>
      </w:r>
    </w:p>
    <w:p w14:paraId="187F01D6" w14:textId="77777777" w:rsidR="00BE036A" w:rsidRDefault="00BE036A" w:rsidP="00BE036A"/>
    <w:p w14:paraId="5B763EFD" w14:textId="75B6B7EE" w:rsidR="00BE036A" w:rsidRDefault="00BE036A" w:rsidP="00BE036A">
      <w:r>
        <w:t xml:space="preserve">Volg </w:t>
      </w:r>
      <w:r w:rsidR="005D641A">
        <w:t>de AML-Tool</w:t>
      </w:r>
      <w:r>
        <w:t xml:space="preserve"> volledig</w:t>
      </w:r>
      <w:r w:rsidR="00C2101B">
        <w:t xml:space="preserve">. In </w:t>
      </w:r>
      <w:r w:rsidR="005D641A">
        <w:t>de AML-Tool</w:t>
      </w:r>
      <w:r w:rsidR="00C2101B">
        <w:t xml:space="preserve"> </w:t>
      </w:r>
      <w:r>
        <w:t>is systematisch elke stap uitgewerkt en elke actie die daarbij nodig is, voorzien van alle benodigde informatie, modelverklaringen (UBO- en PEP-verklaringen) en modelbrieven, vastgelegd.</w:t>
      </w:r>
    </w:p>
    <w:p w14:paraId="300A6461" w14:textId="18EC7D61" w:rsidR="0051354F" w:rsidRDefault="0051354F" w:rsidP="00BE036A"/>
    <w:p w14:paraId="6C146D57" w14:textId="133CFD0C" w:rsidR="00C0365B" w:rsidRPr="00F7722F" w:rsidRDefault="00C0365B" w:rsidP="00C0365B">
      <w:r w:rsidRPr="007A3706">
        <w:t>De Uitvoeringsregeling Wet ter voorkoming van witwassen en financiering van terrorisme</w:t>
      </w:r>
      <w:r>
        <w:t xml:space="preserve"> is medio 2020 gewijzigd, waardoor i</w:t>
      </w:r>
      <w:r w:rsidRPr="007A3706">
        <w:t xml:space="preserve">dentificatie voor </w:t>
      </w:r>
      <w:r>
        <w:t xml:space="preserve">de </w:t>
      </w:r>
      <w:proofErr w:type="spellStart"/>
      <w:r w:rsidRPr="007A3706">
        <w:t>Wwft</w:t>
      </w:r>
      <w:proofErr w:type="spellEnd"/>
      <w:r w:rsidRPr="007A3706">
        <w:t xml:space="preserve"> ook </w:t>
      </w:r>
      <w:r>
        <w:t xml:space="preserve">mag </w:t>
      </w:r>
      <w:r w:rsidRPr="007A3706">
        <w:t>op basis van Elektronisch ID</w:t>
      </w:r>
      <w:r>
        <w:t>.</w:t>
      </w:r>
    </w:p>
    <w:p w14:paraId="4392A6C3" w14:textId="77777777" w:rsidR="00C0365B" w:rsidRDefault="00C0365B" w:rsidP="00BE036A"/>
    <w:p w14:paraId="19B9B4D5" w14:textId="77777777" w:rsidR="0051354F" w:rsidRPr="002A251F" w:rsidRDefault="0051354F" w:rsidP="0051354F">
      <w:pPr>
        <w:rPr>
          <w:b/>
          <w:bCs/>
        </w:rPr>
      </w:pPr>
      <w:r w:rsidRPr="002A251F">
        <w:rPr>
          <w:b/>
          <w:bCs/>
        </w:rPr>
        <w:t>UBO-onderzoek:</w:t>
      </w:r>
    </w:p>
    <w:p w14:paraId="18594B54" w14:textId="77777777" w:rsidR="0051354F" w:rsidRDefault="0051354F" w:rsidP="0051354F"/>
    <w:p w14:paraId="347AA6DC" w14:textId="628C1735" w:rsidR="0051354F" w:rsidRDefault="0051354F" w:rsidP="0051354F">
      <w:r>
        <w:t xml:space="preserve">Onze organisatie moet redelijke maatregelen te nemen om inzicht te verwerven in de eigendoms- en zeggenschapsstructuur van de cliënt (art. 3 lid 2 sub b </w:t>
      </w:r>
      <w:proofErr w:type="spellStart"/>
      <w:r>
        <w:t>W</w:t>
      </w:r>
      <w:r w:rsidR="00205E6D">
        <w:t>wft</w:t>
      </w:r>
      <w:proofErr w:type="spellEnd"/>
      <w:r>
        <w:t xml:space="preserve"> en Handleiding sub 12).</w:t>
      </w:r>
    </w:p>
    <w:p w14:paraId="21EA41C9" w14:textId="77777777" w:rsidR="0048230A" w:rsidRDefault="0048230A" w:rsidP="00BE036A"/>
    <w:p w14:paraId="5A135968" w14:textId="77777777" w:rsidR="00C43629" w:rsidRPr="00FE3F0C" w:rsidRDefault="00C43629" w:rsidP="00C43629">
      <w:pPr>
        <w:rPr>
          <w:b/>
          <w:bCs/>
          <w:color w:val="EE0000"/>
        </w:rPr>
      </w:pPr>
      <w:r w:rsidRPr="00FE3F0C">
        <w:rPr>
          <w:b/>
          <w:bCs/>
          <w:color w:val="EE0000"/>
        </w:rPr>
        <w:fldChar w:fldCharType="begin"/>
      </w:r>
      <w:r w:rsidRPr="00FE3F0C">
        <w:rPr>
          <w:b/>
          <w:bCs/>
          <w:color w:val="EE0000"/>
        </w:rPr>
        <w:instrText xml:space="preserve"> MACROBUTTON NoMacro **</w:instrText>
      </w:r>
      <w:r w:rsidRPr="00FE3F0C">
        <w:rPr>
          <w:b/>
          <w:bCs/>
          <w:color w:val="EE0000"/>
        </w:rPr>
        <w:fldChar w:fldCharType="end"/>
      </w:r>
      <w:r w:rsidRPr="00FE3F0C">
        <w:rPr>
          <w:b/>
          <w:bCs/>
          <w:color w:val="EE0000"/>
        </w:rPr>
        <w:t>Alternatief 1:Altijd organigram opvragen</w:t>
      </w:r>
    </w:p>
    <w:p w14:paraId="3359DF25" w14:textId="134CEA31" w:rsidR="00C43629" w:rsidRDefault="00C43629" w:rsidP="00C43629">
      <w:r>
        <w:t>Gezien de aard van de opdrachten die aan ons kantoor worden verstrekt, hebben wij ervoor gekozen de instructie om redelijke maatregelen te nemen om inzicht te verwerven in de eigendoms- en zeggenschapsstructuur van de cliënt invulling te geven door van elke cliënt die een rechtspersoon, trust of personenvennootschap is een organigram op te vragen.</w:t>
      </w:r>
      <w:r w:rsidR="005D641A">
        <w:t xml:space="preserve"> Dit doen we door met de AML-Tool de cliënt te verzoeken het organigram te uploaden in het systeem. </w:t>
      </w:r>
    </w:p>
    <w:p w14:paraId="19D26BA8"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p>
    <w:p w14:paraId="3878BE02" w14:textId="77777777" w:rsidR="00C43629" w:rsidRPr="00FE3F0C" w:rsidRDefault="00C43629" w:rsidP="00C43629">
      <w:pPr>
        <w:rPr>
          <w:b/>
          <w:bCs/>
          <w:color w:val="EE0000"/>
        </w:rPr>
      </w:pPr>
      <w:r w:rsidRPr="00FE3F0C">
        <w:rPr>
          <w:b/>
          <w:bCs/>
          <w:color w:val="EE0000"/>
        </w:rPr>
        <w:fldChar w:fldCharType="begin"/>
      </w:r>
      <w:r w:rsidRPr="00FE3F0C">
        <w:rPr>
          <w:b/>
          <w:bCs/>
          <w:color w:val="EE0000"/>
        </w:rPr>
        <w:instrText xml:space="preserve"> MACROBUTTON NoMacro **</w:instrText>
      </w:r>
      <w:r w:rsidRPr="00FE3F0C">
        <w:rPr>
          <w:b/>
          <w:bCs/>
          <w:color w:val="EE0000"/>
        </w:rPr>
        <w:fldChar w:fldCharType="end"/>
      </w:r>
      <w:r w:rsidRPr="00FE3F0C">
        <w:rPr>
          <w:b/>
          <w:bCs/>
          <w:color w:val="EE0000"/>
        </w:rPr>
        <w:t>Alternatief 2: Alleen organigram als er indicaties zijn</w:t>
      </w:r>
    </w:p>
    <w:p w14:paraId="0B1E327D" w14:textId="7F3E842C" w:rsidR="00C43629" w:rsidRDefault="00C43629" w:rsidP="00C43629">
      <w:r>
        <w:t>Gezien de aard van de opdrachten die aan ons kantoor worden verstrekt, hebben wij ervoor gekozen de instructie om redelijke maatregelen te nemen om inzicht te verwerven in de eigendoms- en zeggenschapsstructuur van de cliënt invulling te geven door van elke cliënt die een rechtspersoon, trust of personenvennootschap is, alleen een organigram op te vragen als er andere indicaties zijn dat de transactie ongebruikelijk is.</w:t>
      </w:r>
      <w:r w:rsidR="005D641A" w:rsidRPr="005D641A">
        <w:t xml:space="preserve"> </w:t>
      </w:r>
      <w:r w:rsidR="005D641A">
        <w:t>Dit doen we door met de AML-Tool de cliënt te verzoeken het organigram te uploaden in het systeem.</w:t>
      </w:r>
    </w:p>
    <w:p w14:paraId="20839E22" w14:textId="77777777" w:rsidR="00C43629" w:rsidRDefault="00C43629" w:rsidP="00C43629">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74564515" w14:textId="77777777" w:rsidR="00C43629" w:rsidRDefault="00C43629" w:rsidP="00C43629"/>
    <w:p w14:paraId="2CA52274" w14:textId="251EF3EF" w:rsidR="00C43629" w:rsidRPr="00FE3F0C" w:rsidRDefault="00C43629" w:rsidP="00C43629">
      <w:pPr>
        <w:rPr>
          <w:b/>
          <w:bCs/>
          <w:color w:val="EE0000"/>
        </w:rPr>
      </w:pPr>
      <w:r w:rsidRPr="00FE3F0C">
        <w:rPr>
          <w:b/>
          <w:bCs/>
          <w:color w:val="EE0000"/>
        </w:rPr>
        <w:fldChar w:fldCharType="begin"/>
      </w:r>
      <w:r w:rsidRPr="00FE3F0C">
        <w:rPr>
          <w:b/>
          <w:bCs/>
          <w:color w:val="EE0000"/>
        </w:rPr>
        <w:instrText xml:space="preserve"> MACROBUTTON NoMacro **</w:instrText>
      </w:r>
      <w:r w:rsidRPr="00FE3F0C">
        <w:rPr>
          <w:b/>
          <w:bCs/>
          <w:color w:val="EE0000"/>
        </w:rPr>
        <w:fldChar w:fldCharType="end"/>
      </w:r>
      <w:r w:rsidRPr="00FE3F0C">
        <w:rPr>
          <w:b/>
          <w:bCs/>
          <w:color w:val="EE0000"/>
        </w:rPr>
        <w:t>Alternatief 3:</w:t>
      </w:r>
      <w:r w:rsidR="00954785">
        <w:rPr>
          <w:b/>
          <w:bCs/>
          <w:color w:val="EE0000"/>
        </w:rPr>
        <w:t xml:space="preserve"> </w:t>
      </w:r>
      <w:r w:rsidRPr="00FE3F0C">
        <w:rPr>
          <w:b/>
          <w:bCs/>
          <w:color w:val="EE0000"/>
        </w:rPr>
        <w:t>Alleen organigram als er bijzondere of algemene indicaties zijn</w:t>
      </w:r>
    </w:p>
    <w:p w14:paraId="56277E4D" w14:textId="4B625075" w:rsidR="00C43629" w:rsidRDefault="00C43629" w:rsidP="00C43629">
      <w:r>
        <w:t>Gezien de aard van de opdrachten die aan ons kantoor worden verstrekt, hebben wij ervoor gekozen de instructie om redelijke maatregelen te nemen om inzicht te verwerven in de eigendoms- en zeggenschapsstructuur van de cliënt invulling te geven door van elke cliënt die een rechtspersoon, trust of personenvennootschap is, alleen een organigram op te vragen als er sprake is van de volgende specifieke zaken: __________; _________________; ______________ en/of er andere indicaties zijn dat de transactie ongebruikelijk is.</w:t>
      </w:r>
      <w:r w:rsidR="005D641A" w:rsidRPr="005D641A">
        <w:t xml:space="preserve"> </w:t>
      </w:r>
      <w:r w:rsidR="005D641A">
        <w:t>Dit doen we door met de AML-Tool de cliënt te verzoeken het organigram te uploaden in het systeem.</w:t>
      </w:r>
    </w:p>
    <w:p w14:paraId="1BBBE1BB" w14:textId="442538B9" w:rsidR="0048230A" w:rsidRPr="00E379B1" w:rsidRDefault="00C43629" w:rsidP="00C43629">
      <w:pPr>
        <w:rPr>
          <w:b/>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3</w:t>
      </w:r>
    </w:p>
    <w:p w14:paraId="1EF90B0B" w14:textId="77777777" w:rsidR="00C43629" w:rsidRDefault="00C43629" w:rsidP="0048230A">
      <w:pPr>
        <w:rPr>
          <w:b/>
          <w:bCs/>
        </w:rPr>
      </w:pPr>
    </w:p>
    <w:p w14:paraId="63BB8C2C" w14:textId="2BFCDEB8" w:rsidR="0048230A" w:rsidRPr="002A251F" w:rsidRDefault="0048230A" w:rsidP="0048230A">
      <w:pPr>
        <w:rPr>
          <w:b/>
          <w:bCs/>
        </w:rPr>
      </w:pPr>
      <w:r w:rsidRPr="002A251F">
        <w:rPr>
          <w:b/>
          <w:bCs/>
        </w:rPr>
        <w:t>UBO-register:</w:t>
      </w:r>
    </w:p>
    <w:p w14:paraId="7E835CA7" w14:textId="77777777" w:rsidR="0048230A" w:rsidRDefault="0048230A" w:rsidP="0048230A"/>
    <w:p w14:paraId="4137301C" w14:textId="7F0BDB81" w:rsidR="0048230A" w:rsidRDefault="0048230A" w:rsidP="0048230A">
      <w:r>
        <w:t xml:space="preserve">Met de invoering van </w:t>
      </w:r>
      <w:r w:rsidR="0067005A">
        <w:t>het</w:t>
      </w:r>
      <w:r>
        <w:t xml:space="preserve"> UBO-register </w:t>
      </w:r>
      <w:r w:rsidR="0067005A">
        <w:t>op 27 september 2020</w:t>
      </w:r>
      <w:r>
        <w:t xml:space="preserve"> worden in Nederland opgerichte vennootschappen en andere juridische entiteiten verplicht de </w:t>
      </w:r>
      <w:proofErr w:type="spellStart"/>
      <w:r>
        <w:t>UBO’s</w:t>
      </w:r>
      <w:proofErr w:type="spellEnd"/>
      <w:r>
        <w:t xml:space="preserve"> te registreren in een centraal</w:t>
      </w:r>
      <w:r w:rsidR="00926696">
        <w:t xml:space="preserve"> </w:t>
      </w:r>
      <w:r>
        <w:t xml:space="preserve">register. Dit register </w:t>
      </w:r>
      <w:r w:rsidR="005C6466">
        <w:t>is</w:t>
      </w:r>
      <w:r>
        <w:t xml:space="preserve"> onderdeel van het handelsregister van de Kamer van Koophandel.</w:t>
      </w:r>
    </w:p>
    <w:p w14:paraId="7D3D6E98" w14:textId="7DBB1F84" w:rsidR="0048230A" w:rsidRDefault="0048230A" w:rsidP="0048230A">
      <w:r>
        <w:t xml:space="preserve">Het UBO-register dient als hulpmiddel voor </w:t>
      </w:r>
      <w:proofErr w:type="spellStart"/>
      <w:r>
        <w:t>Wwft</w:t>
      </w:r>
      <w:proofErr w:type="spellEnd"/>
      <w:r>
        <w:t xml:space="preserve">-instellingen bij het cliëntenonderzoek. Belangrijke kanttekening is dat de wet expliciet bepaalt dat zij niet uitsluitend kunnen volstaan met raadpleging van het register. </w:t>
      </w:r>
      <w:proofErr w:type="spellStart"/>
      <w:r>
        <w:t>Wwft</w:t>
      </w:r>
      <w:proofErr w:type="spellEnd"/>
      <w:r>
        <w:t xml:space="preserve">-instellingen blijven aldus onverminderd verplicht eigen cliëntenonderzoek te doen en in het kader hiervan de </w:t>
      </w:r>
      <w:proofErr w:type="spellStart"/>
      <w:r>
        <w:t>UBO’s</w:t>
      </w:r>
      <w:proofErr w:type="spellEnd"/>
      <w:r>
        <w:t xml:space="preserve"> vast te stellen. Daarom heeft onze organisatie besloten om door te gaan met het versturen van UBO-verklaringen</w:t>
      </w:r>
      <w:r w:rsidR="005D641A">
        <w:t xml:space="preserve">. Dit gaat automatisch met </w:t>
      </w:r>
      <w:r w:rsidR="005D641A" w:rsidRPr="005D641A">
        <w:t>de AML-Tool</w:t>
      </w:r>
      <w:r>
        <w:t>.</w:t>
      </w:r>
    </w:p>
    <w:p w14:paraId="10865DF8" w14:textId="0C313898" w:rsidR="0048230A" w:rsidRDefault="0048230A" w:rsidP="0048230A"/>
    <w:p w14:paraId="4FB25E00" w14:textId="77777777" w:rsidR="005D641A" w:rsidRDefault="00C0365B" w:rsidP="005D641A">
      <w:r>
        <w:t>Is de cliënt een personenvennootschap</w:t>
      </w:r>
      <w:r w:rsidR="005C6466">
        <w:t xml:space="preserve"> </w:t>
      </w:r>
      <w:r>
        <w:t xml:space="preserve">of rechtspersoon en is het een </w:t>
      </w:r>
      <w:proofErr w:type="spellStart"/>
      <w:r>
        <w:t>Wwft</w:t>
      </w:r>
      <w:proofErr w:type="spellEnd"/>
      <w:r>
        <w:t xml:space="preserve">-plichtig dossier dan moet vanaf 27 september 2020 ook steeds een uittreksel uit het </w:t>
      </w:r>
      <w:r w:rsidR="003F4425">
        <w:t>UBO</w:t>
      </w:r>
      <w:r>
        <w:t>-register worden opgevraagd</w:t>
      </w:r>
      <w:r w:rsidR="00926696">
        <w:t xml:space="preserve"> en voor zover dat niet mogelijk is uit het UBO-register, bij de cliënt zelf</w:t>
      </w:r>
      <w:r>
        <w:t xml:space="preserve">. </w:t>
      </w:r>
      <w:r w:rsidR="005D641A">
        <w:t xml:space="preserve">Dit gaat automatisch met </w:t>
      </w:r>
      <w:r w:rsidR="005D641A" w:rsidRPr="005D641A">
        <w:t>de AML-Tool</w:t>
      </w:r>
      <w:r w:rsidR="005D641A">
        <w:t>.</w:t>
      </w:r>
    </w:p>
    <w:p w14:paraId="6CA242A5" w14:textId="08CD065D" w:rsidR="00C0365B" w:rsidRDefault="005C6466" w:rsidP="00C0365B">
      <w:r>
        <w:t xml:space="preserve">Voor een trust of Fonds voor Gemene Rekening geldt een aparte regeling, zie onder het hoofdstuk: </w:t>
      </w:r>
      <w:r w:rsidR="003F4425">
        <w:t>‘</w:t>
      </w:r>
      <w:r w:rsidRPr="00097C55">
        <w:t>Implementatiewet registratie uiteindelijk belanghebbenden van trusts en soortgelijke juridische constructies</w:t>
      </w:r>
      <w:r w:rsidR="003F4425">
        <w:t>’</w:t>
      </w:r>
      <w:r>
        <w:t>.</w:t>
      </w:r>
      <w:r w:rsidR="005D641A" w:rsidRPr="005D641A">
        <w:t xml:space="preserve"> </w:t>
      </w:r>
    </w:p>
    <w:p w14:paraId="6B73577F" w14:textId="77777777" w:rsidR="00926696" w:rsidRDefault="00926696" w:rsidP="00C0365B"/>
    <w:p w14:paraId="1931611D" w14:textId="77777777" w:rsidR="00C43629" w:rsidRPr="00490ABE" w:rsidRDefault="00C43629" w:rsidP="00C43629">
      <w:pPr>
        <w:rPr>
          <w:b/>
          <w:bCs/>
          <w:highlight w:val="yellow"/>
        </w:rPr>
      </w:pPr>
      <w:r w:rsidRPr="00490ABE">
        <w:rPr>
          <w:b/>
          <w:bCs/>
          <w:highlight w:val="yellow"/>
        </w:rPr>
        <w:t xml:space="preserve">**Instructie vooraf: Registreer het kantoor voor het NAU </w:t>
      </w:r>
    </w:p>
    <w:p w14:paraId="27E397D3" w14:textId="510F5A22" w:rsidR="00C0365B" w:rsidRDefault="00C0365B" w:rsidP="00C0365B">
      <w:r w:rsidRPr="00490ABE">
        <w:rPr>
          <w:highlight w:val="yellow"/>
        </w:rPr>
        <w:t>Ons kantoor heeft zich geregistreerd bij de Kamer van Koophandel voor het Notaris Applicatie U</w:t>
      </w:r>
      <w:r w:rsidR="003F4425" w:rsidRPr="00490ABE">
        <w:rPr>
          <w:highlight w:val="yellow"/>
        </w:rPr>
        <w:t>BO</w:t>
      </w:r>
      <w:r w:rsidRPr="00490ABE">
        <w:rPr>
          <w:highlight w:val="yellow"/>
        </w:rPr>
        <w:t xml:space="preserve"> (NAU). De gebruikersnaam en het wachtwoord zijn: </w:t>
      </w:r>
      <w:r w:rsidR="005C6466" w:rsidRPr="00490ABE">
        <w:rPr>
          <w:highlight w:val="yellow"/>
        </w:rPr>
        <w:t>____________</w:t>
      </w:r>
      <w:r w:rsidRPr="00490ABE">
        <w:rPr>
          <w:highlight w:val="yellow"/>
        </w:rPr>
        <w:t>, respectievelijk ______________.</w:t>
      </w:r>
      <w:r>
        <w:t xml:space="preserve"> </w:t>
      </w:r>
    </w:p>
    <w:p w14:paraId="61443212" w14:textId="77777777" w:rsidR="00C0365B" w:rsidRDefault="00C0365B" w:rsidP="00C0365B"/>
    <w:p w14:paraId="247A1F32" w14:textId="77777777" w:rsidR="00EC3593" w:rsidRDefault="00EC3593" w:rsidP="00EC3593">
      <w:r>
        <w:t xml:space="preserve">De handleiding voor de UBO-opgave etc. is te vinden op: </w:t>
      </w:r>
    </w:p>
    <w:p w14:paraId="5FD9B9FD" w14:textId="77777777" w:rsidR="00EC3593" w:rsidRDefault="00EC3593" w:rsidP="00EC3593">
      <w:hyperlink r:id="rId15" w:history="1">
        <w:r w:rsidRPr="0046154D">
          <w:rPr>
            <w:rStyle w:val="Hyperlink"/>
          </w:rPr>
          <w:t>https://production-site-nl.kvk.bloomreach.cloud/binaries/content/assets/kvkwebsite-nl/categorie/wijzigen/handleiding-nau-1.9-wr-1.pdf</w:t>
        </w:r>
      </w:hyperlink>
    </w:p>
    <w:p w14:paraId="5754D5FE" w14:textId="77777777" w:rsidR="00C0365B" w:rsidRDefault="00C0365B" w:rsidP="0048230A"/>
    <w:p w14:paraId="09AA17E1" w14:textId="3A55655D" w:rsidR="0048230A" w:rsidRDefault="0048230A" w:rsidP="0048230A">
      <w:r>
        <w:t xml:space="preserve">Verder </w:t>
      </w:r>
      <w:r w:rsidR="0067005A">
        <w:t>roept de wet inzake het</w:t>
      </w:r>
      <w:r>
        <w:t xml:space="preserve"> UBO-register een zogenaamde ‘</w:t>
      </w:r>
      <w:proofErr w:type="spellStart"/>
      <w:r>
        <w:t>terugmeldplicht</w:t>
      </w:r>
      <w:proofErr w:type="spellEnd"/>
      <w:r>
        <w:t xml:space="preserve">’ in het leven. Dit houdt in dat </w:t>
      </w:r>
      <w:proofErr w:type="spellStart"/>
      <w:r>
        <w:t>Wwft</w:t>
      </w:r>
      <w:proofErr w:type="spellEnd"/>
      <w:r>
        <w:t xml:space="preserve">-instellingen verplicht worden melding te doen bij de Kamer van Koophandel van </w:t>
      </w:r>
      <w:r w:rsidR="005C6466">
        <w:t xml:space="preserve">iedere </w:t>
      </w:r>
      <w:r>
        <w:t xml:space="preserve">discrepantie </w:t>
      </w:r>
      <w:r w:rsidR="005C6466">
        <w:t xml:space="preserve">die zij aantreffen tussen een gegeven </w:t>
      </w:r>
      <w:r w:rsidR="005C6466" w:rsidRPr="00F97609">
        <w:t>omtrent een uiteindelijk belanghebbende dat zij verstrekt he</w:t>
      </w:r>
      <w:r w:rsidR="005C6466">
        <w:t>bben</w:t>
      </w:r>
      <w:r w:rsidR="005C6466" w:rsidRPr="00F97609">
        <w:t xml:space="preserve"> gekregen uit het </w:t>
      </w:r>
      <w:r w:rsidR="005C6466">
        <w:t>UBO-</w:t>
      </w:r>
      <w:r w:rsidR="005C6466" w:rsidRPr="00F97609">
        <w:t>register en de informatie over die uiteindelijk belanghebbende waarover zij uit anderen hoofde beschik</w:t>
      </w:r>
      <w:r w:rsidR="005C6466">
        <w:t>ken</w:t>
      </w:r>
      <w:r w:rsidR="005C6466" w:rsidRPr="00F97609">
        <w:t>, zoals uit het cliëntenonderzoek</w:t>
      </w:r>
      <w:r>
        <w:t>. Deze verplichting geldt niet indien een melding wordt gedaan aan de F</w:t>
      </w:r>
      <w:r w:rsidR="003F4425">
        <w:t>IU</w:t>
      </w:r>
      <w:r>
        <w:t xml:space="preserve"> op grond van artikel 16 </w:t>
      </w:r>
      <w:proofErr w:type="spellStart"/>
      <w:r>
        <w:t>Wwft</w:t>
      </w:r>
      <w:proofErr w:type="spellEnd"/>
      <w:r>
        <w:t xml:space="preserve">. </w:t>
      </w:r>
    </w:p>
    <w:p w14:paraId="5D62CB3C" w14:textId="791E6903" w:rsidR="0048230A" w:rsidRDefault="0048230A" w:rsidP="0048230A">
      <w:r>
        <w:t xml:space="preserve">Het constateren van een discrepantie en het doen van een terugmelding, houdt in zijn algemeenheid niet in dat er geen zakelijke relatie met de betreffende cliënt kan worden aangegaan. Leidend hierin blijft het eigen cliëntenonderzoek van de </w:t>
      </w:r>
      <w:proofErr w:type="spellStart"/>
      <w:r>
        <w:t>Wwft</w:t>
      </w:r>
      <w:proofErr w:type="spellEnd"/>
      <w:r>
        <w:t>-instelling.</w:t>
      </w:r>
    </w:p>
    <w:p w14:paraId="321B94FD" w14:textId="329DCBAF" w:rsidR="0048230A" w:rsidRDefault="0048230A" w:rsidP="0048230A"/>
    <w:p w14:paraId="790C88BC" w14:textId="5207C044" w:rsidR="005C6466" w:rsidRDefault="0063590C" w:rsidP="0063590C">
      <w:r>
        <w:t xml:space="preserve">Publiekrechtelijke rechtspersonen, beursvennootschappen en hun 100% dochtermaatschappijen zijn uitgezonderd van de verplichting hun </w:t>
      </w:r>
      <w:r w:rsidR="003F4425">
        <w:t>UBO</w:t>
      </w:r>
      <w:r>
        <w:t xml:space="preserve">(s) in het </w:t>
      </w:r>
      <w:r w:rsidR="003F4425">
        <w:t>UBO</w:t>
      </w:r>
      <w:r>
        <w:t>-register in te schrijven.</w:t>
      </w:r>
    </w:p>
    <w:p w14:paraId="7D5D62CC" w14:textId="024A2283" w:rsidR="0063590C" w:rsidRDefault="0063590C" w:rsidP="0063590C">
      <w:r>
        <w:t xml:space="preserve">Als onze cliënt een publiekrechtelijke rechtspersoon (of beursvennootschap of 100% dochter daarvan) is, moeten wij op grond van de </w:t>
      </w:r>
      <w:proofErr w:type="spellStart"/>
      <w:r>
        <w:t>Wwft</w:t>
      </w:r>
      <w:proofErr w:type="spellEnd"/>
      <w:r>
        <w:t xml:space="preserve"> wel degelijk onderzoeken wie de </w:t>
      </w:r>
      <w:proofErr w:type="spellStart"/>
      <w:r w:rsidR="003F4425">
        <w:t>UBO</w:t>
      </w:r>
      <w:r>
        <w:t>’s</w:t>
      </w:r>
      <w:proofErr w:type="spellEnd"/>
      <w:r>
        <w:t xml:space="preserve"> zijn. Dit is ook de mening van één van de gezaghebbende juristen op </w:t>
      </w:r>
      <w:proofErr w:type="spellStart"/>
      <w:r>
        <w:t>W</w:t>
      </w:r>
      <w:r w:rsidR="003F4425">
        <w:t>wft</w:t>
      </w:r>
      <w:proofErr w:type="spellEnd"/>
      <w:r>
        <w:t xml:space="preserve">-gebied. Een andere gezaghebbende juriste op </w:t>
      </w:r>
      <w:proofErr w:type="spellStart"/>
      <w:r>
        <w:t>W</w:t>
      </w:r>
      <w:r w:rsidR="003F4425">
        <w:t>wft</w:t>
      </w:r>
      <w:proofErr w:type="spellEnd"/>
      <w:r>
        <w:t xml:space="preserve">-gebied vindt dat bij een publiekrechtelijke rechtspersoon wel een </w:t>
      </w:r>
      <w:r w:rsidR="003F4425">
        <w:t>UBO</w:t>
      </w:r>
      <w:r>
        <w:t xml:space="preserve">-onderzoek moet plaatsvinden, maar bij een beurvennootschap (inclusief 100% dochters) niet, op grond van het bepaalde in artikel 3 Uitvoeringsbesluit </w:t>
      </w:r>
      <w:proofErr w:type="spellStart"/>
      <w:r>
        <w:t>W</w:t>
      </w:r>
      <w:r w:rsidR="003F4425">
        <w:t>wft</w:t>
      </w:r>
      <w:proofErr w:type="spellEnd"/>
      <w:r>
        <w:t xml:space="preserve"> 2018. </w:t>
      </w:r>
    </w:p>
    <w:p w14:paraId="2E777FF7" w14:textId="36CFE9CE" w:rsidR="00C0365B" w:rsidRDefault="00C0365B" w:rsidP="0048230A"/>
    <w:p w14:paraId="38E032F0" w14:textId="77777777" w:rsidR="005C6466" w:rsidRDefault="005C6466" w:rsidP="005C6466">
      <w:pPr>
        <w:rPr>
          <w:b/>
        </w:rPr>
      </w:pPr>
      <w:r w:rsidRPr="00B12690">
        <w:rPr>
          <w:b/>
        </w:rPr>
        <w:t>Implementatiewet registratie uiteindelijk belanghebbenden van trusts en soortgelijke juridische constructies</w:t>
      </w:r>
    </w:p>
    <w:p w14:paraId="0C0EF689" w14:textId="77777777" w:rsidR="005C6466" w:rsidRDefault="005C6466" w:rsidP="005C6466">
      <w:pPr>
        <w:rPr>
          <w:b/>
        </w:rPr>
      </w:pPr>
    </w:p>
    <w:p w14:paraId="351494FA" w14:textId="0DD6E0B5" w:rsidR="005C6466" w:rsidRPr="0081798B" w:rsidRDefault="005C6466" w:rsidP="005C6466">
      <w:pPr>
        <w:rPr>
          <w:bCs/>
        </w:rPr>
      </w:pPr>
      <w:r w:rsidRPr="0081798B">
        <w:rPr>
          <w:bCs/>
        </w:rPr>
        <w:t xml:space="preserve">Op 1 november 2022 </w:t>
      </w:r>
      <w:r w:rsidR="009213EB">
        <w:rPr>
          <w:bCs/>
        </w:rPr>
        <w:t>is</w:t>
      </w:r>
      <w:r w:rsidRPr="0081798B">
        <w:rPr>
          <w:bCs/>
        </w:rPr>
        <w:t xml:space="preserve"> de Implementatiewet registratie uiteindelijk belanghebbenden van trusts en soortgelijke juridische constructies in werking</w:t>
      </w:r>
      <w:r w:rsidR="009213EB">
        <w:rPr>
          <w:bCs/>
        </w:rPr>
        <w:t xml:space="preserve"> getreden</w:t>
      </w:r>
      <w:r w:rsidRPr="0081798B">
        <w:rPr>
          <w:bCs/>
        </w:rPr>
        <w:t>.</w:t>
      </w:r>
    </w:p>
    <w:p w14:paraId="71A3FEED" w14:textId="77777777" w:rsidR="005C6466" w:rsidRDefault="005C6466" w:rsidP="005C6466">
      <w:pPr>
        <w:rPr>
          <w:b/>
        </w:rPr>
      </w:pPr>
    </w:p>
    <w:p w14:paraId="3B77CE92" w14:textId="095BD6E2" w:rsidR="005C6466" w:rsidRDefault="003F4425" w:rsidP="005C6466">
      <w:r>
        <w:t xml:space="preserve">1. </w:t>
      </w:r>
      <w:r w:rsidR="005C6466">
        <w:t>Deze wet is van toepassing op trusts (en andere gelijkgestelde juridische constructies (bijvoorbeeld een fonds voor gemene rekening)</w:t>
      </w:r>
      <w:r>
        <w:t>)</w:t>
      </w:r>
      <w:r w:rsidR="005C6466">
        <w:t>:</w:t>
      </w:r>
    </w:p>
    <w:p w14:paraId="7E3C9645" w14:textId="77777777" w:rsidR="005C6466" w:rsidRDefault="005C6466" w:rsidP="005C6466">
      <w:r>
        <w:t>a. waarvan de trustee in Nederland woonachtig of gevestigd is; of</w:t>
      </w:r>
    </w:p>
    <w:p w14:paraId="755DD019" w14:textId="77777777" w:rsidR="005C6466" w:rsidRDefault="005C6466" w:rsidP="005C6466">
      <w:r>
        <w:t xml:space="preserve">b. waarvan de trustee buiten de Europese Unie woonachtig of gevestigd is en namens de trust in Nederland een zakelijke relatie aangaat of onroerend goed verwerft. </w:t>
      </w:r>
    </w:p>
    <w:p w14:paraId="2B0532D0" w14:textId="77777777" w:rsidR="005C6466" w:rsidRDefault="005C6466" w:rsidP="005C6466"/>
    <w:p w14:paraId="017B266A" w14:textId="77777777" w:rsidR="005C6466" w:rsidRDefault="005C6466" w:rsidP="005C6466">
      <w:r>
        <w:t>2. Deze wet is niet van toepassing op de registratie van trusts en de uiteindelijk belanghebbenden daarvan voor zover die trusts in een andere lidstaat van de Europese Unie zijn ingeschreven in een soortgelijk trustregister.</w:t>
      </w:r>
    </w:p>
    <w:p w14:paraId="6C7D639B" w14:textId="77777777" w:rsidR="005C6466" w:rsidRDefault="005C6466" w:rsidP="005C6466"/>
    <w:p w14:paraId="21632CDE" w14:textId="77777777" w:rsidR="005C6466" w:rsidRDefault="005C6466" w:rsidP="005C6466">
      <w:r>
        <w:t xml:space="preserve">De trustee is verplicht de </w:t>
      </w:r>
      <w:proofErr w:type="spellStart"/>
      <w:r>
        <w:t>UBO’s</w:t>
      </w:r>
      <w:proofErr w:type="spellEnd"/>
      <w:r>
        <w:t xml:space="preserve"> te registreren in een centraal, openbaar toegankelijk, Trustregister. Dit register is </w:t>
      </w:r>
      <w:r w:rsidRPr="0081798B">
        <w:rPr>
          <w:u w:val="single"/>
        </w:rPr>
        <w:t>geen</w:t>
      </w:r>
      <w:r>
        <w:t xml:space="preserve"> onderdeel van het handelsregister.</w:t>
      </w:r>
    </w:p>
    <w:p w14:paraId="74BD13E4" w14:textId="77777777" w:rsidR="005C6466" w:rsidRDefault="005C6466" w:rsidP="005C6466"/>
    <w:p w14:paraId="14B10A77" w14:textId="4AF4DE83" w:rsidR="005C6466" w:rsidRDefault="005C6466" w:rsidP="005C6466">
      <w:r>
        <w:t xml:space="preserve">Het Trustregister dient onder andere als hulpmiddel voor </w:t>
      </w:r>
      <w:proofErr w:type="spellStart"/>
      <w:r>
        <w:t>Wwft</w:t>
      </w:r>
      <w:proofErr w:type="spellEnd"/>
      <w:r>
        <w:t>-instellingen bij het cliëntenonderzoek. Anders dan voor het UBO-register geldt, bepaalt de wet niet met zoveel woorden dat instellingen een eigen UBO</w:t>
      </w:r>
      <w:r w:rsidR="003F4425">
        <w:t>-</w:t>
      </w:r>
      <w:r>
        <w:t>onderzoek moeten doen, maar het vloeit wel uit het KYC</w:t>
      </w:r>
      <w:r w:rsidR="003F4425">
        <w:t>-</w:t>
      </w:r>
      <w:r>
        <w:t xml:space="preserve">principe voort. Daarom heeft onze organisatie besloten om UBO-verklaringen van trustees en hun </w:t>
      </w:r>
      <w:proofErr w:type="spellStart"/>
      <w:r>
        <w:t>UBO’s</w:t>
      </w:r>
      <w:proofErr w:type="spellEnd"/>
      <w:r>
        <w:t xml:space="preserve"> te eisen.</w:t>
      </w:r>
      <w:r w:rsidR="005D641A" w:rsidRPr="005D641A">
        <w:t xml:space="preserve"> </w:t>
      </w:r>
      <w:r w:rsidR="005D641A">
        <w:t xml:space="preserve">Dit gaat automatisch met </w:t>
      </w:r>
      <w:r w:rsidR="005D641A" w:rsidRPr="005D641A">
        <w:t>de AML-Tool</w:t>
      </w:r>
      <w:r w:rsidR="005D641A">
        <w:t>.</w:t>
      </w:r>
    </w:p>
    <w:p w14:paraId="66EB3BCA" w14:textId="77777777" w:rsidR="005C6466" w:rsidRDefault="005C6466" w:rsidP="005C6466"/>
    <w:p w14:paraId="696195F0" w14:textId="4735F22F" w:rsidR="005C6466" w:rsidRDefault="005C6466" w:rsidP="005C6466">
      <w:r>
        <w:t xml:space="preserve">Is de cliënt een trust of Fonds voor Gemene Rekening en is het een </w:t>
      </w:r>
      <w:proofErr w:type="spellStart"/>
      <w:r>
        <w:t>Wwft</w:t>
      </w:r>
      <w:proofErr w:type="spellEnd"/>
      <w:r>
        <w:t>-plichtig dossier</w:t>
      </w:r>
      <w:r w:rsidR="003F4425">
        <w:t>,</w:t>
      </w:r>
      <w:r>
        <w:t xml:space="preserve"> dan moet vanaf 1 november 2022 ook steeds een bewijs van inschrijving (uittreksel) uit het register als bedoeld in de </w:t>
      </w:r>
      <w:r w:rsidRPr="00F97609">
        <w:t>Implementatiewet registratie uiteindelijk belanghebbenden van trusts en soortgelijke juridische constructies</w:t>
      </w:r>
      <w:r>
        <w:t xml:space="preserve"> worden opgevraagd.</w:t>
      </w:r>
    </w:p>
    <w:p w14:paraId="5FC2050F" w14:textId="77777777" w:rsidR="005C6466" w:rsidRDefault="005C6466" w:rsidP="005C6466"/>
    <w:p w14:paraId="0D3EEAEF" w14:textId="77777777" w:rsidR="0062489B" w:rsidRDefault="0062489B" w:rsidP="0062489B">
      <w:r>
        <w:t xml:space="preserve">De handleiding voor de UBO-opgave etc. is te vinden op: </w:t>
      </w:r>
    </w:p>
    <w:p w14:paraId="3A1B3019" w14:textId="22D07551" w:rsidR="0062489B" w:rsidRDefault="0062489B" w:rsidP="0062489B">
      <w:hyperlink r:id="rId16" w:history="1">
        <w:r w:rsidRPr="00024221">
          <w:rPr>
            <w:rStyle w:val="Hyperlink"/>
          </w:rPr>
          <w:t>https://www.uboregistertrusts.nl/documenten/2025/4/23/handleiding-registreren_ubo-register-trusts_v2.0</w:t>
        </w:r>
      </w:hyperlink>
      <w:r>
        <w:t xml:space="preserve"> </w:t>
      </w:r>
    </w:p>
    <w:p w14:paraId="3BF8BA67" w14:textId="77777777" w:rsidR="00B36B2B" w:rsidRDefault="00B36B2B" w:rsidP="005C6466"/>
    <w:p w14:paraId="0EDE8BB9" w14:textId="2DE833F8" w:rsidR="005C6466" w:rsidRDefault="005C6466" w:rsidP="005C6466">
      <w:r>
        <w:t>Deze wet roept eveneens een zogenaamde ‘</w:t>
      </w:r>
      <w:proofErr w:type="spellStart"/>
      <w:r>
        <w:t>terugmeldplicht</w:t>
      </w:r>
      <w:proofErr w:type="spellEnd"/>
      <w:r>
        <w:t xml:space="preserve">’ in het leven. Dit houdt in dat </w:t>
      </w:r>
      <w:proofErr w:type="spellStart"/>
      <w:r>
        <w:t>Wwft</w:t>
      </w:r>
      <w:proofErr w:type="spellEnd"/>
      <w:r>
        <w:t>-instellingen verplicht worden melding te doen bij het Trustregister van</w:t>
      </w:r>
      <w:r w:rsidRPr="00F97609">
        <w:t xml:space="preserve"> iedere discrepantie die zij aantref</w:t>
      </w:r>
      <w:r w:rsidR="005A1F64">
        <w:t>fen</w:t>
      </w:r>
      <w:r w:rsidRPr="00F97609">
        <w:t xml:space="preserve"> tussen een gegeven omtrent een uiteindelijk belanghebbende dat zij verstrekt he</w:t>
      </w:r>
      <w:r w:rsidR="005A1F64">
        <w:t>bben</w:t>
      </w:r>
      <w:r w:rsidRPr="00F97609">
        <w:t xml:space="preserve"> gekregen uit het </w:t>
      </w:r>
      <w:r>
        <w:t>trust</w:t>
      </w:r>
      <w:r w:rsidRPr="00F97609">
        <w:t>register en de informatie over die uiteindelijk belanghebbende waarover zij uit anderen hoofde beschik</w:t>
      </w:r>
      <w:r w:rsidR="005A1F64">
        <w:t>ken</w:t>
      </w:r>
      <w:r>
        <w:t>, zoals uit het cliëntenonderzoek. Deze verplichting geldt niet indien een melding wordt gedaan aan de F</w:t>
      </w:r>
      <w:r w:rsidR="003F4425">
        <w:t>IU</w:t>
      </w:r>
      <w:r>
        <w:t xml:space="preserve"> op grond van artikel 16 </w:t>
      </w:r>
      <w:proofErr w:type="spellStart"/>
      <w:r>
        <w:t>Wwft</w:t>
      </w:r>
      <w:proofErr w:type="spellEnd"/>
      <w:r>
        <w:t xml:space="preserve">. </w:t>
      </w:r>
    </w:p>
    <w:p w14:paraId="0AA3022A" w14:textId="77777777" w:rsidR="005C6466" w:rsidRDefault="005C6466" w:rsidP="005C6466"/>
    <w:p w14:paraId="2A96C373" w14:textId="401E7DBF" w:rsidR="005C6466" w:rsidRDefault="005C6466" w:rsidP="005C6466">
      <w:r>
        <w:t xml:space="preserve">Het constateren van een discrepantie en het doen van een terugmelding, houdt in zijn algemeenheid niet in dat er geen zakelijke relatie met de betreffende cliënt kan worden aangegaan. Leidend hierin blijft het eigen cliëntenonderzoek van de </w:t>
      </w:r>
      <w:proofErr w:type="spellStart"/>
      <w:r>
        <w:t>Wwft</w:t>
      </w:r>
      <w:proofErr w:type="spellEnd"/>
      <w:r>
        <w:t>-instelling.</w:t>
      </w:r>
    </w:p>
    <w:p w14:paraId="61494C84" w14:textId="77777777" w:rsidR="005C6466" w:rsidRDefault="005C6466" w:rsidP="0048230A"/>
    <w:p w14:paraId="672F7FBB" w14:textId="6CCADB41" w:rsidR="0048230A" w:rsidRDefault="0048230A" w:rsidP="0048230A">
      <w:pPr>
        <w:rPr>
          <w:b/>
        </w:rPr>
      </w:pPr>
      <w:r w:rsidRPr="00235CE8">
        <w:rPr>
          <w:b/>
        </w:rPr>
        <w:t>PEP-onderzoek:</w:t>
      </w:r>
    </w:p>
    <w:p w14:paraId="4122496C" w14:textId="77777777" w:rsidR="00310D63" w:rsidRDefault="00310D63" w:rsidP="0048230A"/>
    <w:p w14:paraId="4F118240" w14:textId="35CAD38B" w:rsidR="0048230A" w:rsidRPr="002A251F" w:rsidRDefault="0048230A" w:rsidP="0048230A">
      <w:r w:rsidRPr="002A251F">
        <w:t>De Handleiding voor de toepassing van de Wet ter voorkoming van witwassen en financieren van terrorisme (</w:t>
      </w:r>
      <w:proofErr w:type="spellStart"/>
      <w:r w:rsidRPr="002A251F">
        <w:t>Wwft</w:t>
      </w:r>
      <w:proofErr w:type="spellEnd"/>
      <w:r w:rsidRPr="002A251F">
        <w:t xml:space="preserve">) </w:t>
      </w:r>
      <w:r w:rsidR="009E1E1A">
        <w:t>v</w:t>
      </w:r>
      <w:r w:rsidRPr="002A251F">
        <w:t>an de KNB van december 2019 meldt</w:t>
      </w:r>
      <w:r>
        <w:t xml:space="preserve"> </w:t>
      </w:r>
      <w:r w:rsidRPr="002A251F">
        <w:t xml:space="preserve">over </w:t>
      </w:r>
      <w:r>
        <w:t xml:space="preserve">het PEP-onderzoek </w:t>
      </w:r>
      <w:r w:rsidRPr="002A251F">
        <w:t>het volgende</w:t>
      </w:r>
      <w:r>
        <w:t>:</w:t>
      </w:r>
    </w:p>
    <w:p w14:paraId="6DBEBE45" w14:textId="77777777" w:rsidR="0048230A" w:rsidRPr="002A251F" w:rsidRDefault="0048230A" w:rsidP="0048230A"/>
    <w:p w14:paraId="499641EB" w14:textId="77777777" w:rsidR="0048230A" w:rsidRPr="00382CC5" w:rsidRDefault="0048230A" w:rsidP="0048230A">
      <w:r>
        <w:t>“</w:t>
      </w:r>
      <w:r w:rsidRPr="00382CC5">
        <w:t>Het gaat er om dat er redelijke inspanningen worden getroffen om een PEP te herkennen en te identificeren. In het algemeen k</w:t>
      </w:r>
      <w:r w:rsidRPr="006654BB">
        <w:t>an geen antwoord worden gegeven op de vraag wat moet worden verstaan onder “redelijke inspanningen”.</w:t>
      </w:r>
      <w:r>
        <w:t>[…]</w:t>
      </w:r>
    </w:p>
    <w:p w14:paraId="246BC118" w14:textId="77777777" w:rsidR="0048230A" w:rsidRPr="00A41FAE" w:rsidRDefault="0048230A" w:rsidP="0048230A">
      <w:r w:rsidRPr="007203FC">
        <w:t>Er zijn commerciële organisati</w:t>
      </w:r>
      <w:r w:rsidRPr="00FA1073">
        <w:t xml:space="preserve">es die tegen betaling internationale lijsten aanbieden met namen van </w:t>
      </w:r>
      <w:proofErr w:type="spellStart"/>
      <w:r w:rsidRPr="00FA1073">
        <w:t>PEP’s</w:t>
      </w:r>
      <w:proofErr w:type="spellEnd"/>
      <w:r w:rsidRPr="00FA1073">
        <w:t>. Van de kleinere kantoren wordt in het algemeen niet verwacht dat deze lijsten gebruikt worden. De lijsten zijn met name bestemd voor grotere instellingen met een aanzienlijk intern</w:t>
      </w:r>
      <w:r w:rsidRPr="00A41FAE">
        <w:t>ationaal cliëntenbestand.</w:t>
      </w:r>
    </w:p>
    <w:p w14:paraId="54DB7EB3" w14:textId="77777777" w:rsidR="0048230A" w:rsidRPr="002A251F" w:rsidRDefault="0048230A" w:rsidP="0048230A">
      <w:r w:rsidRPr="006D1BBD">
        <w:t xml:space="preserve">Bepalend voor de vraag of er conform de wettelijke verplichtingen is gehandeld, is de kwaliteit van het ontwikkelde beleid voor de omgang met </w:t>
      </w:r>
      <w:proofErr w:type="spellStart"/>
      <w:r w:rsidRPr="006D1BBD">
        <w:t>PEP’s</w:t>
      </w:r>
      <w:proofErr w:type="spellEnd"/>
      <w:r w:rsidRPr="006D1BBD">
        <w:t xml:space="preserve"> en de wijze waarop dit beleid wordt uitgevoerd. Het verifiëren van de identiteit v</w:t>
      </w:r>
      <w:r w:rsidRPr="00D53927">
        <w:t>an een PEP is vormvrij. De notaris kan derhalve zelf bepalen hoe het beleid wordt ingericht om aan deze verplichting te voldoen. Ook hierbij staat de risicogeoriënteerde benadering centraal.</w:t>
      </w:r>
      <w:r>
        <w:t>[…]”</w:t>
      </w:r>
    </w:p>
    <w:p w14:paraId="7FED5637" w14:textId="77777777" w:rsidR="0048230A" w:rsidRDefault="0048230A" w:rsidP="00A0079A">
      <w:pPr>
        <w:tabs>
          <w:tab w:val="left" w:pos="425"/>
          <w:tab w:val="left" w:pos="850"/>
        </w:tabs>
        <w:ind w:left="850" w:hanging="850"/>
        <w:rPr>
          <w:b/>
        </w:rPr>
      </w:pPr>
    </w:p>
    <w:p w14:paraId="7ADF841F" w14:textId="4D18C608" w:rsidR="00310D63" w:rsidRDefault="00310D63" w:rsidP="00310D63">
      <w:pPr>
        <w:tabs>
          <w:tab w:val="left" w:pos="425"/>
          <w:tab w:val="left" w:pos="850"/>
        </w:tabs>
        <w:ind w:left="850" w:hanging="850"/>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1</w:t>
      </w:r>
    </w:p>
    <w:p w14:paraId="6FB388B0" w14:textId="6680EBB6" w:rsidR="00310D63" w:rsidRPr="003E0000" w:rsidRDefault="00310D63" w:rsidP="00310D63">
      <w:pPr>
        <w:tabs>
          <w:tab w:val="left" w:pos="425"/>
          <w:tab w:val="left" w:pos="850"/>
        </w:tabs>
        <w:ind w:left="850" w:hanging="850"/>
        <w:rPr>
          <w:b/>
          <w:bCs/>
        </w:rPr>
      </w:pPr>
      <w:r w:rsidRPr="003E0000">
        <w:rPr>
          <w:b/>
          <w:bCs/>
        </w:rPr>
        <w:t>Het PEP-onderzoek met gebruikmaking van commerciële databases.</w:t>
      </w:r>
    </w:p>
    <w:p w14:paraId="558FCB4A" w14:textId="0EB5071D" w:rsidR="00310D63" w:rsidRDefault="00310D63" w:rsidP="00310D63">
      <w:r>
        <w:t>Wij willen elk risico dat wij een transactie begeleiden waarbij wij de betrokkenheid van een PEP over het hoofd zien zoveel mogelijk uitsluiten. Wij kiezen ervoor om naast het laten invullen van een PEP-verklaring (</w:t>
      </w:r>
      <w:r w:rsidR="005D641A">
        <w:t xml:space="preserve">dit gaat automatisch met </w:t>
      </w:r>
      <w:r w:rsidR="005D641A" w:rsidRPr="005D641A">
        <w:t>de AML-Tool</w:t>
      </w:r>
      <w:r>
        <w:t xml:space="preserve">) ook gebruik te maken van de diensten van commerciële partijen die databases aanhouden waarin gegevens over </w:t>
      </w:r>
      <w:proofErr w:type="spellStart"/>
      <w:r>
        <w:t>PEP’s</w:t>
      </w:r>
      <w:proofErr w:type="spellEnd"/>
      <w:r>
        <w:t xml:space="preserve"> worden bijgehouden. W</w:t>
      </w:r>
      <w:r w:rsidRPr="0076486A">
        <w:t xml:space="preserve">ij hebben met: </w:t>
      </w:r>
      <w:r>
        <w:t>___________ een contract gesloten waarbij zij ons ondersteunen bij het PEP-onderzoek. Wij realiseren ons dat de databases per definitie achter lopen bij de realiteit. Iemand kan vandaag benoemd zijn tot voorzitter van een politieke partij en dan staat hij (nog) niet in de bedoelde databases. Door deze methode van PEP-onderzoek sluiten wij de mogelijkheid uit dat ons achteraf verweten wordt dat we een PEP niet signaleerden, terwijl uit onderzoek in een database duidelijk had kunnen zijn geworden dat het wel een PEP is. Deze partijen kennen elk een eigen businessmodel en zijn niet gratis.</w:t>
      </w:r>
    </w:p>
    <w:p w14:paraId="0876B053" w14:textId="4A71FB58" w:rsidR="00310D63" w:rsidRDefault="00310D63" w:rsidP="00310D63">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p>
    <w:p w14:paraId="4C571CD8" w14:textId="77777777" w:rsidR="00310D63" w:rsidRDefault="00310D63" w:rsidP="00310D63"/>
    <w:p w14:paraId="5EAB2395" w14:textId="11C44207" w:rsidR="00310D63" w:rsidRDefault="00310D63" w:rsidP="00310D63">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p>
    <w:p w14:paraId="44FA6941" w14:textId="1BBDE29B" w:rsidR="00310D63" w:rsidRPr="003E0000" w:rsidRDefault="00310D63" w:rsidP="00310D63">
      <w:pPr>
        <w:rPr>
          <w:b/>
          <w:bCs/>
        </w:rPr>
      </w:pPr>
      <w:r w:rsidRPr="003E0000">
        <w:rPr>
          <w:b/>
          <w:bCs/>
        </w:rPr>
        <w:t>Het PEP-onderzoek in bijzondere gevallen met gebruikmaking van commerciële databases.</w:t>
      </w:r>
    </w:p>
    <w:p w14:paraId="55A4B3D6" w14:textId="51DE9643" w:rsidR="00310D63" w:rsidRDefault="00310D63" w:rsidP="00310D63">
      <w:r>
        <w:t>Wij willen voor transacties __________________// van meer dan ______________// het risico dat wij een transactie begeleiden waarbij wij de betrokkenheid van een PEP over het hoofd zien zoveel mogelijk uitsluiten. Wij kiezen ervoor bij dit soort transacties om naast het laten invullen van een PEP-verklaring (</w:t>
      </w:r>
      <w:r w:rsidR="005D641A">
        <w:t xml:space="preserve">dit gaat automatisch met </w:t>
      </w:r>
      <w:r w:rsidR="005D641A" w:rsidRPr="005D641A">
        <w:t>de AML-Tool</w:t>
      </w:r>
      <w:r>
        <w:t xml:space="preserve">) ook gebruik te maken van de diensten van commerciële partijen die databases aanhouden waarin gegevens over </w:t>
      </w:r>
      <w:proofErr w:type="spellStart"/>
      <w:r>
        <w:t>PEP’s</w:t>
      </w:r>
      <w:proofErr w:type="spellEnd"/>
      <w:r>
        <w:t xml:space="preserve"> worden bijgehouden. W</w:t>
      </w:r>
      <w:r w:rsidRPr="00215C75">
        <w:t xml:space="preserve">ij hebben met : </w:t>
      </w:r>
      <w:r>
        <w:t xml:space="preserve">___________ een contract gesloten waarbij zij ons ondersteunen bij het PEP-onderzoek. Wij realiseren ons dat de databases per definitie achter lopen bij de realiteit. Iemand kan vandaag benoemd zijn tot voorzitter van een politieke partij en dan staat hij (nog) niet in de bedoelde databases. Door deze methode van PEP-onderzoek sluiten wij bij dit soort transacties de mogelijkheid uit dat ons achteraf verweten wordt dat we een PEP niet signaleerden, terwijl uit onderzoek in een database duidelijk had kunnen zijn geworden dat het wel een PEP is. Deze partijen kennen elk een eigen businessmodel en zijn niet gratis. </w:t>
      </w:r>
    </w:p>
    <w:p w14:paraId="2A93EEB0" w14:textId="77777777" w:rsidR="00310D63" w:rsidRDefault="00310D63" w:rsidP="00310D63"/>
    <w:p w14:paraId="08389688" w14:textId="6337610E" w:rsidR="00310D63" w:rsidRDefault="00310D63" w:rsidP="00310D63">
      <w:r>
        <w:t xml:space="preserve">Voor de andere zaken is ons beleid dat de medewerkers wel een google search doen en het resultaat daarvan opnemen in </w:t>
      </w:r>
      <w:r w:rsidR="0007387E" w:rsidRPr="0007387E">
        <w:t>de AML-Tool</w:t>
      </w:r>
      <w:r>
        <w:t xml:space="preserve">. Installeer bij de google search de extensie NCR = no country </w:t>
      </w:r>
      <w:proofErr w:type="spellStart"/>
      <w:r>
        <w:t>redirect</w:t>
      </w:r>
      <w:proofErr w:type="spellEnd"/>
      <w:r>
        <w:t xml:space="preserve">, zodat het </w:t>
      </w:r>
      <w:proofErr w:type="spellStart"/>
      <w:r>
        <w:t>world</w:t>
      </w:r>
      <w:proofErr w:type="spellEnd"/>
      <w:r>
        <w:t xml:space="preserve"> </w:t>
      </w:r>
      <w:proofErr w:type="spellStart"/>
      <w:r>
        <w:t>wide</w:t>
      </w:r>
      <w:proofErr w:type="spellEnd"/>
      <w:r>
        <w:t xml:space="preserve"> web wordt afgezocht, in plaats van lokale instellingen. </w:t>
      </w:r>
    </w:p>
    <w:p w14:paraId="7DF3828B" w14:textId="77777777" w:rsidR="00310D63" w:rsidRDefault="00310D63" w:rsidP="00310D63">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01E415F8" w14:textId="77777777" w:rsidR="00310D63" w:rsidRDefault="00310D63" w:rsidP="00310D63"/>
    <w:p w14:paraId="101BDAF5" w14:textId="17AB9896" w:rsidR="00310D63" w:rsidRDefault="00310D63" w:rsidP="00310D63">
      <w:pPr>
        <w:tabs>
          <w:tab w:val="left" w:pos="425"/>
          <w:tab w:val="left" w:pos="850"/>
        </w:tabs>
        <w:ind w:left="850" w:hanging="850"/>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3</w:t>
      </w:r>
    </w:p>
    <w:p w14:paraId="262B8E28" w14:textId="3125BEF7" w:rsidR="00310D63" w:rsidRPr="003E0000" w:rsidRDefault="00310D63" w:rsidP="00310D63">
      <w:pPr>
        <w:tabs>
          <w:tab w:val="left" w:pos="425"/>
          <w:tab w:val="left" w:pos="850"/>
        </w:tabs>
        <w:ind w:left="850" w:hanging="850"/>
        <w:rPr>
          <w:b/>
          <w:bCs/>
        </w:rPr>
      </w:pPr>
      <w:r w:rsidRPr="003E0000">
        <w:rPr>
          <w:b/>
          <w:bCs/>
        </w:rPr>
        <w:t>Het PEP-onderzoek zonder gebruikmaking van commerciële databases</w:t>
      </w:r>
      <w:r>
        <w:rPr>
          <w:b/>
          <w:bCs/>
        </w:rPr>
        <w:t>.</w:t>
      </w:r>
    </w:p>
    <w:p w14:paraId="6FF95DD0" w14:textId="4FFE64A1" w:rsidR="00310D63" w:rsidRDefault="00310D63" w:rsidP="00310D63">
      <w:r>
        <w:t xml:space="preserve">Wij hebben overwogen om met commerciële partijen die databases aanhouden waarin gegevens over </w:t>
      </w:r>
      <w:proofErr w:type="spellStart"/>
      <w:r>
        <w:t>PEP’s</w:t>
      </w:r>
      <w:proofErr w:type="spellEnd"/>
      <w:r>
        <w:t xml:space="preserve"> worden bijgehouden een contract te sluiten om van hun diensten gebruik te maken om ons te ondersteunen bij het PEP-onderzoek. Wij hebben, gezien het algemene risicoprofiel van ons kantoor en het feit de databases per definitie achter lopen bij de realiteit, besloten geen contract hieromtrent aan te gaan, immers: iemand kan vandaag benoemd zijn tot voorzitter van een politieke partij en dan staat hij (nog) niet in de bedoelde databases. Daarmee aanvaarden wij het risico dat ons achteraf verweten wordt dat we een PEP niet signaleerden, terwijl uit onderzoek in een database duidelijk had kunnen zijn geworden dat het wel een PEP is. Ons beleid is dat de medewerkers een google search doen en het resultaat daarvan opnemen in </w:t>
      </w:r>
      <w:r w:rsidR="0007387E" w:rsidRPr="0007387E">
        <w:t>de AML-Tool</w:t>
      </w:r>
      <w:r>
        <w:t xml:space="preserve">. Installeer bij de google search de extensie NCR = no country </w:t>
      </w:r>
      <w:proofErr w:type="spellStart"/>
      <w:r>
        <w:t>redirect</w:t>
      </w:r>
      <w:proofErr w:type="spellEnd"/>
      <w:r>
        <w:t xml:space="preserve">, zodat het </w:t>
      </w:r>
      <w:proofErr w:type="spellStart"/>
      <w:r>
        <w:t>world</w:t>
      </w:r>
      <w:proofErr w:type="spellEnd"/>
      <w:r>
        <w:t xml:space="preserve"> </w:t>
      </w:r>
      <w:proofErr w:type="spellStart"/>
      <w:r>
        <w:t>wide</w:t>
      </w:r>
      <w:proofErr w:type="spellEnd"/>
      <w:r>
        <w:t xml:space="preserve"> web wordt afgezocht, i.p.v. lokale instellingen.</w:t>
      </w:r>
      <w:r w:rsidR="0007387E">
        <w:t xml:space="preserve"> Bovendien vraag </w:t>
      </w:r>
      <w:r w:rsidR="0007387E" w:rsidRPr="0007387E">
        <w:t>de AML-Tool</w:t>
      </w:r>
      <w:r w:rsidR="0007387E">
        <w:t xml:space="preserve"> aan iedere cliënt en UBO om de PEP-verklaring in te vullen.</w:t>
      </w:r>
    </w:p>
    <w:p w14:paraId="4C90D7C4" w14:textId="77777777" w:rsidR="00310D63" w:rsidRDefault="00310D63" w:rsidP="00310D63"/>
    <w:p w14:paraId="70A81775" w14:textId="7B98CCED" w:rsidR="00310D63" w:rsidRDefault="00310D63" w:rsidP="00310D63">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Sub Alternatief</w:t>
      </w:r>
      <w:r w:rsidRPr="0051354F">
        <w:rPr>
          <w:b/>
          <w:bCs/>
          <w:color w:val="FF0000"/>
        </w:rPr>
        <w:t>:</w:t>
      </w:r>
      <w:r>
        <w:rPr>
          <w:b/>
          <w:bCs/>
          <w:color w:val="FF0000"/>
        </w:rPr>
        <w:t xml:space="preserve"> Altijd PEP-verklaring</w:t>
      </w:r>
    </w:p>
    <w:p w14:paraId="6BB266EC" w14:textId="0F01B5FF" w:rsidR="00310D63" w:rsidRDefault="00310D63" w:rsidP="00310D63">
      <w:r>
        <w:t>Wij hebben er voor gekozen de aanbeveling uit de</w:t>
      </w:r>
      <w:r w:rsidRPr="00B27FA2">
        <w:t xml:space="preserve"> Handvatten Cliëntenonderzoek </w:t>
      </w:r>
      <w:proofErr w:type="spellStart"/>
      <w:r w:rsidRPr="00B27FA2">
        <w:t>W</w:t>
      </w:r>
      <w:r>
        <w:t>na</w:t>
      </w:r>
      <w:proofErr w:type="spellEnd"/>
      <w:r w:rsidRPr="00B27FA2">
        <w:t xml:space="preserve"> en </w:t>
      </w:r>
      <w:proofErr w:type="spellStart"/>
      <w:r w:rsidRPr="00B27FA2">
        <w:t>W</w:t>
      </w:r>
      <w:r>
        <w:t>wft</w:t>
      </w:r>
      <w:proofErr w:type="spellEnd"/>
      <w:r>
        <w:t xml:space="preserve"> van de KNB (2019) dat een PEP-verklaring niet nodig is, niet op te volgen en </w:t>
      </w:r>
      <w:r w:rsidR="0007387E" w:rsidRPr="0007387E">
        <w:t>de AML-Tool</w:t>
      </w:r>
      <w:r>
        <w:t xml:space="preserve"> stu</w:t>
      </w:r>
      <w:r w:rsidR="0007387E">
        <w:t>u</w:t>
      </w:r>
      <w:r>
        <w:t>r</w:t>
      </w:r>
      <w:r w:rsidR="0007387E">
        <w:t>t</w:t>
      </w:r>
      <w:r>
        <w:t xml:space="preserve"> aan elke cliënt en elke betrokken UBO een PEP-verklaring.</w:t>
      </w:r>
    </w:p>
    <w:p w14:paraId="36235B14" w14:textId="2FFA8FD1" w:rsidR="00310D63" w:rsidRDefault="00310D63" w:rsidP="00310D63">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Sub Alternatief</w:t>
      </w:r>
      <w:r w:rsidRPr="0051354F">
        <w:rPr>
          <w:b/>
          <w:bCs/>
          <w:color w:val="FF0000"/>
        </w:rPr>
        <w:t>:</w:t>
      </w:r>
      <w:r>
        <w:rPr>
          <w:b/>
          <w:bCs/>
          <w:color w:val="FF0000"/>
        </w:rPr>
        <w:t xml:space="preserve"> Altijd PEP-verklaring</w:t>
      </w:r>
    </w:p>
    <w:p w14:paraId="743B35BE" w14:textId="77777777" w:rsidR="00310D63" w:rsidRDefault="00310D63" w:rsidP="00310D63"/>
    <w:p w14:paraId="420B6CE6" w14:textId="77777777" w:rsidR="00490ABE" w:rsidRDefault="00490ABE" w:rsidP="00490ABE">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3</w:t>
      </w:r>
    </w:p>
    <w:p w14:paraId="320AA572" w14:textId="77777777" w:rsidR="00A0079A" w:rsidRDefault="00A0079A" w:rsidP="00A0079A"/>
    <w:p w14:paraId="5D79CFD8" w14:textId="4C786E5D" w:rsidR="00BE036A" w:rsidRPr="001E2A39" w:rsidRDefault="00BE036A" w:rsidP="00BE036A">
      <w:pPr>
        <w:rPr>
          <w:b/>
        </w:rPr>
      </w:pPr>
      <w:r w:rsidRPr="001E2A39">
        <w:rPr>
          <w:b/>
        </w:rPr>
        <w:t xml:space="preserve">5. Risico-indicatoren verscherpt onderzoek (art. 8 </w:t>
      </w:r>
      <w:proofErr w:type="spellStart"/>
      <w:r w:rsidRPr="001E2A39">
        <w:rPr>
          <w:b/>
        </w:rPr>
        <w:t>W</w:t>
      </w:r>
      <w:r w:rsidR="000734AA">
        <w:rPr>
          <w:b/>
        </w:rPr>
        <w:t>wft</w:t>
      </w:r>
      <w:proofErr w:type="spellEnd"/>
      <w:r w:rsidRPr="001E2A39">
        <w:rPr>
          <w:b/>
        </w:rPr>
        <w:t xml:space="preserve"> 2018)</w:t>
      </w:r>
    </w:p>
    <w:p w14:paraId="25276B9C" w14:textId="77777777" w:rsidR="00BE036A" w:rsidRDefault="00BE036A" w:rsidP="00BE036A"/>
    <w:p w14:paraId="745806DA" w14:textId="747AFC9A" w:rsidR="00BE036A" w:rsidRDefault="00BE036A" w:rsidP="00BE036A">
      <w:r>
        <w:t xml:space="preserve">Het cliëntenonderzoek evenals </w:t>
      </w:r>
      <w:r w:rsidR="0007387E">
        <w:t xml:space="preserve">de tools om op te schalen naar </w:t>
      </w:r>
      <w:r>
        <w:t xml:space="preserve">het verscherpte cliëntenonderzoek </w:t>
      </w:r>
      <w:r w:rsidR="000352D2">
        <w:t>zijn</w:t>
      </w:r>
      <w:r>
        <w:t xml:space="preserve"> volledig uitgewerkt in eerder genoemd</w:t>
      </w:r>
      <w:r w:rsidR="0007387E" w:rsidRPr="0007387E">
        <w:t>e AML-Tool</w:t>
      </w:r>
      <w:r>
        <w:t xml:space="preserve">. </w:t>
      </w:r>
    </w:p>
    <w:p w14:paraId="700BC876" w14:textId="77777777" w:rsidR="00BE036A" w:rsidRDefault="00BE036A" w:rsidP="00BE036A"/>
    <w:p w14:paraId="0F164D08" w14:textId="54187DA2" w:rsidR="00BE036A" w:rsidRDefault="00BE036A" w:rsidP="00BE036A">
      <w:r>
        <w:t xml:space="preserve">Als iemand minder dan een jaar geleden PEP was, of familielid van iemand die minder dan een jaar geleden PEP was, of </w:t>
      </w:r>
      <w:proofErr w:type="spellStart"/>
      <w:r>
        <w:t>naastgeassocieerde</w:t>
      </w:r>
      <w:proofErr w:type="spellEnd"/>
      <w:r>
        <w:t xml:space="preserve"> van iemand die minder dan een jaar gel</w:t>
      </w:r>
      <w:r w:rsidR="000734AA">
        <w:t>e</w:t>
      </w:r>
      <w:r>
        <w:t xml:space="preserve">den PEP was, geldt als regel: verscherpt cliëntenonderzoek doen, tenzij de compliance </w:t>
      </w:r>
      <w:proofErr w:type="spellStart"/>
      <w:r>
        <w:t>officer</w:t>
      </w:r>
      <w:proofErr w:type="spellEnd"/>
      <w:r>
        <w:t xml:space="preserve"> anders besluit.</w:t>
      </w:r>
    </w:p>
    <w:p w14:paraId="6595F09D" w14:textId="77777777" w:rsidR="00BE036A" w:rsidRDefault="00BE036A" w:rsidP="00BE036A"/>
    <w:p w14:paraId="443CA687" w14:textId="2D398DCB" w:rsidR="00BE036A" w:rsidRDefault="00BE036A" w:rsidP="00BE036A">
      <w:r>
        <w:t xml:space="preserve">Maak een verslag van dat overleg en met name van de overwegingen waarom er besloten is om geen verscherpt cliëntenonderzoek te doen. Sla dat verslag op in </w:t>
      </w:r>
      <w:r w:rsidR="0007387E" w:rsidRPr="0007387E">
        <w:t>de AML-Tool</w:t>
      </w:r>
      <w:r>
        <w:t>.</w:t>
      </w:r>
    </w:p>
    <w:p w14:paraId="65CD6DAB" w14:textId="77777777" w:rsidR="00BE036A" w:rsidRDefault="00BE036A" w:rsidP="00BE036A"/>
    <w:p w14:paraId="14F53727" w14:textId="77777777" w:rsidR="00BE036A" w:rsidRDefault="00BE036A" w:rsidP="00BE036A">
      <w:r>
        <w:t xml:space="preserve">Voor het aangaan of voortzetten van de zakelijke relatie met of het verrichten van een transactie voor iemand die minder dan een jaar geleden PEP was, of familielid is van iemand die minder dan een jaar geleden PEP was, of </w:t>
      </w:r>
      <w:proofErr w:type="spellStart"/>
      <w:r>
        <w:t>naastgeassocieerde</w:t>
      </w:r>
      <w:proofErr w:type="spellEnd"/>
      <w:r>
        <w:t xml:space="preserve"> is van iemand die minder dan een jaar gelden PEP was, geldt dat uitdrukkelijke toestemming nodig is van de </w:t>
      </w:r>
      <w:r w:rsidR="00272D97">
        <w:t xml:space="preserve">compliance </w:t>
      </w:r>
      <w:proofErr w:type="spellStart"/>
      <w:r w:rsidR="00272D97">
        <w:t>officer</w:t>
      </w:r>
      <w:proofErr w:type="spellEnd"/>
      <w:r>
        <w:t>.</w:t>
      </w:r>
    </w:p>
    <w:p w14:paraId="1E519A94" w14:textId="77777777" w:rsidR="00BE036A" w:rsidRDefault="00BE036A" w:rsidP="00BE036A"/>
    <w:p w14:paraId="3BA3D737" w14:textId="14016350" w:rsidR="00BE036A" w:rsidRDefault="00BE036A" w:rsidP="00BE036A">
      <w:r>
        <w:t>Zorg ervoor dat deze uitdrukkelijke toestemming in voormeld</w:t>
      </w:r>
      <w:r w:rsidR="0007387E" w:rsidRPr="0007387E">
        <w:t>e AML-Tool</w:t>
      </w:r>
      <w:r>
        <w:t xml:space="preserve">  wordt opgenomen.</w:t>
      </w:r>
    </w:p>
    <w:p w14:paraId="17841C58" w14:textId="77777777" w:rsidR="00BE036A" w:rsidRDefault="00BE036A" w:rsidP="00BE036A"/>
    <w:p w14:paraId="0C59C16C" w14:textId="77777777" w:rsidR="0048230A" w:rsidRDefault="00BE036A" w:rsidP="00BE036A">
      <w:r>
        <w:t>Naast de verplichte melding waarvoor de procedure in genoemd draaiboek is omschreven, kan de uitslag van het cliëntenonderzoek aanleiding geven tot dienstweigering.</w:t>
      </w:r>
    </w:p>
    <w:p w14:paraId="23C69E89" w14:textId="77777777" w:rsidR="0048230A" w:rsidRDefault="0048230A" w:rsidP="00BE036A"/>
    <w:p w14:paraId="029687A3" w14:textId="77777777" w:rsidR="0048230A" w:rsidRPr="002A251F" w:rsidRDefault="0048230A" w:rsidP="0048230A">
      <w:pPr>
        <w:rPr>
          <w:b/>
          <w:bCs/>
          <w:u w:val="single"/>
        </w:rPr>
      </w:pPr>
      <w:r w:rsidRPr="002A251F">
        <w:rPr>
          <w:b/>
          <w:bCs/>
          <w:u w:val="single"/>
        </w:rPr>
        <w:t>Dienstweigering</w:t>
      </w:r>
    </w:p>
    <w:p w14:paraId="3DD00666" w14:textId="77777777" w:rsidR="0048230A" w:rsidRDefault="0048230A"/>
    <w:p w14:paraId="42401AC2" w14:textId="5D51BCD8" w:rsidR="00BE036A" w:rsidRDefault="00BE036A" w:rsidP="00BE036A">
      <w:r>
        <w:t xml:space="preserve">Dienstweigering is in hoofdlijnen uitgewerkt in artikel 21 lid 2 </w:t>
      </w:r>
      <w:proofErr w:type="spellStart"/>
      <w:r>
        <w:t>Wna</w:t>
      </w:r>
      <w:proofErr w:type="spellEnd"/>
      <w:r>
        <w:t xml:space="preserve"> en luidt als volgt:</w:t>
      </w:r>
    </w:p>
    <w:p w14:paraId="711E4CDE" w14:textId="453A8EC2" w:rsidR="00BE036A" w:rsidRPr="003E0000" w:rsidRDefault="000734AA" w:rsidP="00BE036A">
      <w:pPr>
        <w:rPr>
          <w:i/>
          <w:iCs/>
          <w:szCs w:val="24"/>
        </w:rPr>
      </w:pPr>
      <w:r w:rsidRPr="003E0000">
        <w:rPr>
          <w:i/>
          <w:iCs/>
          <w:szCs w:val="24"/>
        </w:rPr>
        <w:t>“</w:t>
      </w:r>
      <w:r w:rsidR="00BE036A" w:rsidRPr="003E0000">
        <w:rPr>
          <w:i/>
          <w:iCs/>
          <w:szCs w:val="24"/>
        </w:rPr>
        <w:t>De notaris is verplicht zijn dienst te weigeren wanneer naar zijn redelijke overtuiging of vermoeden de werkzaamheid die van hem verlangd wordt leidt tot strijd met het recht of de openbare orde, wanneer zijn medewerking wordt verlangd bij handelingen die kennelijk een ongeoorloofd doel of gevolg hebben of wanneer hij andere gegronde redenen voor weigering heeft.</w:t>
      </w:r>
      <w:r w:rsidRPr="003E0000">
        <w:rPr>
          <w:i/>
          <w:iCs/>
          <w:szCs w:val="24"/>
        </w:rPr>
        <w:t>”</w:t>
      </w:r>
    </w:p>
    <w:p w14:paraId="3277E772" w14:textId="58541513" w:rsidR="00BE036A" w:rsidRDefault="00BE036A" w:rsidP="00BE036A"/>
    <w:p w14:paraId="5EBCDB73" w14:textId="432EBA74" w:rsidR="00385A67" w:rsidRDefault="00385A67" w:rsidP="00385A67">
      <w:r>
        <w:t xml:space="preserve">Dit wordt nader uitgewerkt in artikel </w:t>
      </w:r>
      <w:r w:rsidR="00E044F6">
        <w:t>6</w:t>
      </w:r>
      <w:r>
        <w:t xml:space="preserve"> Verordening beroeps- en gedragsregels 2011</w:t>
      </w:r>
      <w:r w:rsidR="000734AA">
        <w:t>:</w:t>
      </w:r>
      <w:r>
        <w:t xml:space="preserve"> </w:t>
      </w:r>
    </w:p>
    <w:p w14:paraId="0E3BB840" w14:textId="77777777" w:rsidR="00385A67" w:rsidRDefault="00385A67" w:rsidP="00385A67"/>
    <w:p w14:paraId="081FF1DD" w14:textId="63E17888" w:rsidR="00E044F6" w:rsidRDefault="000734AA" w:rsidP="00385A67">
      <w:pPr>
        <w:rPr>
          <w:i/>
          <w:iCs/>
          <w:szCs w:val="24"/>
        </w:rPr>
      </w:pPr>
      <w:r>
        <w:rPr>
          <w:i/>
          <w:iCs/>
          <w:szCs w:val="24"/>
        </w:rPr>
        <w:t>“</w:t>
      </w:r>
      <w:r w:rsidR="00E044F6" w:rsidRPr="003E0000">
        <w:rPr>
          <w:i/>
          <w:iCs/>
          <w:szCs w:val="24"/>
        </w:rPr>
        <w:t>1</w:t>
      </w:r>
      <w:r w:rsidR="00385A67" w:rsidRPr="003E0000">
        <w:rPr>
          <w:i/>
          <w:iCs/>
          <w:szCs w:val="24"/>
        </w:rPr>
        <w:t xml:space="preserve">. </w:t>
      </w:r>
      <w:r w:rsidR="00E044F6" w:rsidRPr="003E0000">
        <w:rPr>
          <w:i/>
          <w:iCs/>
          <w:szCs w:val="24"/>
        </w:rPr>
        <w:t>De notaris is verplicht zijn dienst te weigeren indien hij de redelijke overtuiging of het vermoeden heeft dat misbruik wordt gemaakt van juridische onkunde of feitelijk overwicht.</w:t>
      </w:r>
      <w:r>
        <w:rPr>
          <w:i/>
          <w:iCs/>
          <w:szCs w:val="24"/>
        </w:rPr>
        <w:t>”</w:t>
      </w:r>
    </w:p>
    <w:p w14:paraId="1044EB9A" w14:textId="77777777" w:rsidR="000734AA" w:rsidRPr="003E0000" w:rsidRDefault="000734AA" w:rsidP="00385A67">
      <w:pPr>
        <w:rPr>
          <w:i/>
          <w:iCs/>
          <w:szCs w:val="24"/>
        </w:rPr>
      </w:pPr>
    </w:p>
    <w:p w14:paraId="0963B03A" w14:textId="637784AD" w:rsidR="00E044F6" w:rsidRPr="003E0000" w:rsidRDefault="000734AA" w:rsidP="00E044F6">
      <w:pPr>
        <w:rPr>
          <w:i/>
          <w:iCs/>
          <w:szCs w:val="24"/>
        </w:rPr>
      </w:pPr>
      <w:r>
        <w:rPr>
          <w:i/>
          <w:iCs/>
          <w:szCs w:val="24"/>
        </w:rPr>
        <w:t>“</w:t>
      </w:r>
      <w:r w:rsidR="00E044F6" w:rsidRPr="003E0000">
        <w:rPr>
          <w:i/>
          <w:iCs/>
          <w:szCs w:val="24"/>
        </w:rPr>
        <w:t>2.De notaris is verplicht zijn dienst te weigeren indien hij de redelijke overtuiging of het vermoeden heeft dat de inhoud van de akte waarvoor zijn tussenkomst is ingeroepen in strijd is met de waarheid.</w:t>
      </w:r>
      <w:r>
        <w:rPr>
          <w:i/>
          <w:iCs/>
          <w:szCs w:val="24"/>
        </w:rPr>
        <w:t>”</w:t>
      </w:r>
    </w:p>
    <w:p w14:paraId="506C52F9" w14:textId="77777777" w:rsidR="00E044F6" w:rsidRPr="003E0000" w:rsidRDefault="00E044F6" w:rsidP="00E044F6">
      <w:pPr>
        <w:rPr>
          <w:i/>
          <w:iCs/>
          <w:szCs w:val="24"/>
        </w:rPr>
      </w:pPr>
    </w:p>
    <w:p w14:paraId="24183130" w14:textId="07336094" w:rsidR="00385A67" w:rsidRPr="003E0000" w:rsidRDefault="000734AA" w:rsidP="00E044F6">
      <w:pPr>
        <w:rPr>
          <w:i/>
          <w:iCs/>
          <w:szCs w:val="24"/>
        </w:rPr>
      </w:pPr>
      <w:r>
        <w:rPr>
          <w:i/>
          <w:iCs/>
          <w:szCs w:val="24"/>
        </w:rPr>
        <w:t>“</w:t>
      </w:r>
      <w:r w:rsidR="00E044F6" w:rsidRPr="003E0000">
        <w:rPr>
          <w:i/>
          <w:iCs/>
          <w:szCs w:val="24"/>
        </w:rPr>
        <w:t>3.De notaris is verplicht zijn dienst te weigeren indien zijn medewerking wordt gevraagd aan het vaststellen van door hem niet controleerbare feiten.</w:t>
      </w:r>
      <w:r>
        <w:rPr>
          <w:i/>
          <w:iCs/>
          <w:szCs w:val="24"/>
        </w:rPr>
        <w:t>”</w:t>
      </w:r>
    </w:p>
    <w:p w14:paraId="4F23D248" w14:textId="77777777" w:rsidR="00385A67" w:rsidRPr="004C1D95" w:rsidRDefault="00385A67" w:rsidP="00385A67">
      <w:pPr>
        <w:rPr>
          <w:sz w:val="20"/>
        </w:rPr>
      </w:pPr>
    </w:p>
    <w:p w14:paraId="68AC904D" w14:textId="77777777" w:rsidR="00E044F6" w:rsidRPr="003E0000" w:rsidRDefault="00E044F6" w:rsidP="00E044F6">
      <w:pPr>
        <w:rPr>
          <w:szCs w:val="24"/>
        </w:rPr>
      </w:pPr>
      <w:r w:rsidRPr="003E0000">
        <w:rPr>
          <w:szCs w:val="24"/>
        </w:rPr>
        <w:t>Nadere toelichting:</w:t>
      </w:r>
    </w:p>
    <w:p w14:paraId="4CB583C6" w14:textId="4A5B5D9F" w:rsidR="00E044F6" w:rsidRPr="003E0000" w:rsidRDefault="000734AA" w:rsidP="00E044F6">
      <w:pPr>
        <w:rPr>
          <w:i/>
          <w:iCs/>
          <w:szCs w:val="24"/>
        </w:rPr>
      </w:pPr>
      <w:r>
        <w:rPr>
          <w:i/>
          <w:iCs/>
          <w:szCs w:val="24"/>
        </w:rPr>
        <w:t>“</w:t>
      </w:r>
      <w:r w:rsidR="00E044F6" w:rsidRPr="003E0000">
        <w:rPr>
          <w:i/>
          <w:iCs/>
          <w:szCs w:val="24"/>
        </w:rPr>
        <w:t>Lid 1</w:t>
      </w:r>
    </w:p>
    <w:p w14:paraId="62EAEF6E" w14:textId="3327621C" w:rsidR="00E044F6" w:rsidRPr="003E0000" w:rsidRDefault="00E044F6" w:rsidP="00E044F6">
      <w:pPr>
        <w:rPr>
          <w:i/>
          <w:iCs/>
          <w:szCs w:val="24"/>
        </w:rPr>
      </w:pPr>
      <w:r w:rsidRPr="003E0000">
        <w:rPr>
          <w:i/>
          <w:iCs/>
          <w:szCs w:val="24"/>
        </w:rPr>
        <w:t>Blijkens artikel 17 lid 1 WNA moet de notaris de belangen van alle bij de rechtshandeling betrokken partijen op</w:t>
      </w:r>
      <w:r w:rsidR="00871797">
        <w:rPr>
          <w:i/>
          <w:iCs/>
          <w:szCs w:val="24"/>
        </w:rPr>
        <w:t xml:space="preserve"> </w:t>
      </w:r>
      <w:r w:rsidRPr="003E0000">
        <w:rPr>
          <w:i/>
          <w:iCs/>
          <w:szCs w:val="24"/>
        </w:rPr>
        <w:t>onpartijdige wijze en met de grootst mogelijke zorgvuldigheid behartigen. Zodra de notaris na het aanvaarden van een</w:t>
      </w:r>
      <w:r w:rsidR="00871797">
        <w:rPr>
          <w:i/>
          <w:iCs/>
          <w:szCs w:val="24"/>
        </w:rPr>
        <w:t xml:space="preserve"> </w:t>
      </w:r>
      <w:r w:rsidRPr="003E0000">
        <w:rPr>
          <w:i/>
          <w:iCs/>
          <w:szCs w:val="24"/>
        </w:rPr>
        <w:t>opdracht deze taak om enige reden niet meer kan vervullen dient hij zich volledig terug te trekken.</w:t>
      </w:r>
      <w:r w:rsidR="000734AA">
        <w:rPr>
          <w:i/>
          <w:iCs/>
          <w:szCs w:val="24"/>
        </w:rPr>
        <w:t>"</w:t>
      </w:r>
    </w:p>
    <w:p w14:paraId="125C672C" w14:textId="77777777" w:rsidR="00E044F6" w:rsidRPr="003E0000" w:rsidRDefault="00E044F6" w:rsidP="00E044F6">
      <w:pPr>
        <w:rPr>
          <w:i/>
          <w:iCs/>
          <w:szCs w:val="24"/>
        </w:rPr>
      </w:pPr>
    </w:p>
    <w:p w14:paraId="69F02799" w14:textId="3CD009B2" w:rsidR="00E044F6" w:rsidRPr="003E0000" w:rsidRDefault="000734AA" w:rsidP="00E044F6">
      <w:pPr>
        <w:rPr>
          <w:i/>
          <w:iCs/>
          <w:szCs w:val="24"/>
        </w:rPr>
      </w:pPr>
      <w:r>
        <w:rPr>
          <w:i/>
          <w:iCs/>
          <w:szCs w:val="24"/>
        </w:rPr>
        <w:t>“</w:t>
      </w:r>
      <w:r w:rsidR="00E044F6" w:rsidRPr="003E0000">
        <w:rPr>
          <w:i/>
          <w:iCs/>
          <w:szCs w:val="24"/>
        </w:rPr>
        <w:t>Lid 2</w:t>
      </w:r>
    </w:p>
    <w:p w14:paraId="02A291CC" w14:textId="3D3A6C7B" w:rsidR="00E044F6" w:rsidRPr="003E0000" w:rsidRDefault="00E044F6" w:rsidP="00E044F6">
      <w:pPr>
        <w:rPr>
          <w:i/>
          <w:iCs/>
          <w:szCs w:val="24"/>
        </w:rPr>
      </w:pPr>
      <w:r w:rsidRPr="003E0000">
        <w:rPr>
          <w:i/>
          <w:iCs/>
          <w:szCs w:val="24"/>
        </w:rPr>
        <w:t>De notaris mag er niet aan meewerken dat jegens derden een onjuiste voorstelling van zaken wordt gegeven. In een</w:t>
      </w:r>
      <w:r w:rsidR="00871797">
        <w:rPr>
          <w:i/>
          <w:iCs/>
          <w:szCs w:val="24"/>
        </w:rPr>
        <w:t xml:space="preserve"> </w:t>
      </w:r>
      <w:r w:rsidRPr="003E0000">
        <w:rPr>
          <w:i/>
          <w:iCs/>
          <w:szCs w:val="24"/>
        </w:rPr>
        <w:t>akte behoort dan ook niet met medeweten van de notaris een onjuist feit of een onjuiste verklaring te worden</w:t>
      </w:r>
      <w:r w:rsidR="00871797">
        <w:rPr>
          <w:i/>
          <w:iCs/>
          <w:szCs w:val="24"/>
        </w:rPr>
        <w:t xml:space="preserve"> </w:t>
      </w:r>
      <w:r w:rsidRPr="003E0000">
        <w:rPr>
          <w:i/>
          <w:iCs/>
          <w:szCs w:val="24"/>
        </w:rPr>
        <w:t>opgenomen. Aan te raden is om overleg te voeren met de op kantoor verantwoordelijke persoon of personen over de te</w:t>
      </w:r>
      <w:r w:rsidR="00871797">
        <w:rPr>
          <w:i/>
          <w:iCs/>
          <w:szCs w:val="24"/>
        </w:rPr>
        <w:t xml:space="preserve"> </w:t>
      </w:r>
      <w:r w:rsidRPr="003E0000">
        <w:rPr>
          <w:i/>
          <w:iCs/>
          <w:szCs w:val="24"/>
        </w:rPr>
        <w:t>nemen stappen. Overleg desgewenst nog met de vertrouwensnotaris of de KNB. De notaris die een cliënt of zaak niet</w:t>
      </w:r>
      <w:r w:rsidR="00871797">
        <w:rPr>
          <w:i/>
          <w:iCs/>
          <w:szCs w:val="24"/>
        </w:rPr>
        <w:t xml:space="preserve"> </w:t>
      </w:r>
      <w:r w:rsidRPr="003E0000">
        <w:rPr>
          <w:i/>
          <w:iCs/>
          <w:szCs w:val="24"/>
        </w:rPr>
        <w:t>vertrouwt, zal diens t moeten weigeren. Bij een vermoeden van witwassen of financieren van terrorisme bestaat</w:t>
      </w:r>
      <w:r w:rsidR="00871797">
        <w:rPr>
          <w:i/>
          <w:iCs/>
          <w:szCs w:val="24"/>
        </w:rPr>
        <w:t xml:space="preserve"> </w:t>
      </w:r>
      <w:r w:rsidRPr="003E0000">
        <w:rPr>
          <w:i/>
          <w:iCs/>
          <w:szCs w:val="24"/>
        </w:rPr>
        <w:t>bovendien een meldingsplicht op grond van de WWFT, ook als de trans actie niet doorg</w:t>
      </w:r>
      <w:r w:rsidR="00871797">
        <w:rPr>
          <w:i/>
          <w:iCs/>
          <w:szCs w:val="24"/>
        </w:rPr>
        <w:t>a</w:t>
      </w:r>
      <w:r w:rsidRPr="003E0000">
        <w:rPr>
          <w:i/>
          <w:iCs/>
          <w:szCs w:val="24"/>
        </w:rPr>
        <w:t>at.</w:t>
      </w:r>
      <w:r w:rsidR="000734AA">
        <w:rPr>
          <w:i/>
          <w:iCs/>
          <w:szCs w:val="24"/>
        </w:rPr>
        <w:t>”</w:t>
      </w:r>
    </w:p>
    <w:p w14:paraId="03A849C5" w14:textId="77777777" w:rsidR="00E044F6" w:rsidRPr="003E0000" w:rsidRDefault="00E044F6" w:rsidP="00E044F6">
      <w:pPr>
        <w:rPr>
          <w:i/>
          <w:iCs/>
          <w:szCs w:val="24"/>
        </w:rPr>
      </w:pPr>
    </w:p>
    <w:p w14:paraId="31BFFA74" w14:textId="6E83F93B" w:rsidR="00E044F6" w:rsidRPr="003E0000" w:rsidRDefault="000734AA" w:rsidP="00E044F6">
      <w:pPr>
        <w:rPr>
          <w:i/>
          <w:iCs/>
          <w:szCs w:val="24"/>
        </w:rPr>
      </w:pPr>
      <w:r>
        <w:rPr>
          <w:i/>
          <w:iCs/>
          <w:szCs w:val="24"/>
        </w:rPr>
        <w:t>“</w:t>
      </w:r>
      <w:r w:rsidR="00E044F6" w:rsidRPr="003E0000">
        <w:rPr>
          <w:i/>
          <w:iCs/>
          <w:szCs w:val="24"/>
        </w:rPr>
        <w:t>Lid 3</w:t>
      </w:r>
    </w:p>
    <w:p w14:paraId="426E482C" w14:textId="72B3D7B8" w:rsidR="00E044F6" w:rsidRPr="003E0000" w:rsidRDefault="00E044F6" w:rsidP="00E044F6">
      <w:pPr>
        <w:rPr>
          <w:i/>
          <w:iCs/>
          <w:szCs w:val="24"/>
        </w:rPr>
      </w:pPr>
      <w:r w:rsidRPr="003E0000">
        <w:rPr>
          <w:i/>
          <w:iCs/>
          <w:szCs w:val="24"/>
        </w:rPr>
        <w:t>De notaris mag niet meewerken aan het vasts tellen van feiten die door hem niet met een redelijke mate van zekerheid</w:t>
      </w:r>
      <w:r w:rsidR="000734AA">
        <w:rPr>
          <w:i/>
          <w:iCs/>
          <w:szCs w:val="24"/>
        </w:rPr>
        <w:t xml:space="preserve"> </w:t>
      </w:r>
      <w:r w:rsidRPr="003E0000">
        <w:rPr>
          <w:i/>
          <w:iCs/>
          <w:szCs w:val="24"/>
        </w:rPr>
        <w:t>kunnen worden vastgesteld.</w:t>
      </w:r>
    </w:p>
    <w:p w14:paraId="1CCD0757" w14:textId="7867970A" w:rsidR="00E044F6" w:rsidRPr="003E0000" w:rsidRDefault="00E044F6" w:rsidP="00E044F6">
      <w:pPr>
        <w:rPr>
          <w:i/>
          <w:iCs/>
          <w:szCs w:val="24"/>
        </w:rPr>
      </w:pPr>
      <w:r w:rsidRPr="003E0000">
        <w:rPr>
          <w:i/>
          <w:iCs/>
          <w:szCs w:val="24"/>
        </w:rPr>
        <w:t>Indien een notaris publiekelijk optreedt kan een onjuiste indruk worden gewekt over de rol die de notaris dient te</w:t>
      </w:r>
      <w:r w:rsidR="000734AA">
        <w:rPr>
          <w:i/>
          <w:iCs/>
          <w:szCs w:val="24"/>
        </w:rPr>
        <w:t xml:space="preserve"> </w:t>
      </w:r>
      <w:r w:rsidRPr="003E0000">
        <w:rPr>
          <w:i/>
          <w:iCs/>
          <w:szCs w:val="24"/>
        </w:rPr>
        <w:t>spelen.</w:t>
      </w:r>
      <w:r w:rsidR="000734AA">
        <w:rPr>
          <w:i/>
          <w:iCs/>
          <w:szCs w:val="24"/>
        </w:rPr>
        <w:t>”</w:t>
      </w:r>
    </w:p>
    <w:p w14:paraId="2E661246" w14:textId="210086C4" w:rsidR="00385A67" w:rsidRDefault="00385A67" w:rsidP="00BE036A"/>
    <w:p w14:paraId="02F07128" w14:textId="144BC13E" w:rsidR="00B81CBB" w:rsidRDefault="00B81CBB" w:rsidP="00B81CBB">
      <w:r>
        <w:t xml:space="preserve">Het behandelen van een dossier waar een persoon bij betrokken is die op een sanctielijst staat, is een economisch delict en leidt er direct toe dat de notaris handelt in strijd met het recht en derhalve een wettige reden heeft om dienst te weigeren. Ga derhalve na of de personen/entiteiten op internationale sanctielijsten staan. </w:t>
      </w:r>
      <w:r w:rsidR="0007387E">
        <w:t xml:space="preserve">Met </w:t>
      </w:r>
      <w:r w:rsidR="0007387E" w:rsidRPr="0007387E">
        <w:t>de AML-Tool</w:t>
      </w:r>
      <w:r w:rsidR="0007387E">
        <w:t xml:space="preserve"> wordt de assessment gedaan. In </w:t>
      </w:r>
      <w:r>
        <w:t xml:space="preserve">het draaiboek is in het hoofdstuk </w:t>
      </w:r>
      <w:r w:rsidR="000734AA">
        <w:t>‘</w:t>
      </w:r>
      <w:r>
        <w:t>Internationale sanctielijsten</w:t>
      </w:r>
      <w:r w:rsidR="000734AA">
        <w:t>’</w:t>
      </w:r>
      <w:r>
        <w:t xml:space="preserve"> opgenomen hoe te handelen.</w:t>
      </w:r>
      <w:r w:rsidR="009213EB">
        <w:t xml:space="preserve"> </w:t>
      </w:r>
      <w:r>
        <w:t>Ook dit is reden om dienst te weigeren.</w:t>
      </w:r>
    </w:p>
    <w:p w14:paraId="2C3EDEA7" w14:textId="77777777" w:rsidR="00B81CBB" w:rsidRDefault="00B81CBB" w:rsidP="00BE036A"/>
    <w:p w14:paraId="0DEFC8A9" w14:textId="66E65C0B" w:rsidR="00BE036A" w:rsidRDefault="00BE036A" w:rsidP="00BE036A">
      <w:r>
        <w:t xml:space="preserve">Overleg met de compliance </w:t>
      </w:r>
      <w:proofErr w:type="spellStart"/>
      <w:r>
        <w:t>officer</w:t>
      </w:r>
      <w:proofErr w:type="spellEnd"/>
      <w:r>
        <w:t xml:space="preserve">. </w:t>
      </w:r>
    </w:p>
    <w:p w14:paraId="42F1BEC1" w14:textId="77777777" w:rsidR="00BE036A" w:rsidRDefault="00BE036A" w:rsidP="00BE036A"/>
    <w:p w14:paraId="4F2FD744" w14:textId="39411E72" w:rsidR="00BE036A" w:rsidRDefault="00BE036A" w:rsidP="00BE036A">
      <w:r>
        <w:t xml:space="preserve">Maak een verslag van dat overleg en met name van de overwegingen waarom er besloten is om dienst te weigeren of juist het dossier te behandelen. Sla dat verslag op in </w:t>
      </w:r>
      <w:r w:rsidR="0007387E" w:rsidRPr="0007387E">
        <w:t>de AML-Tool</w:t>
      </w:r>
      <w:r>
        <w:t xml:space="preserve">. </w:t>
      </w:r>
    </w:p>
    <w:p w14:paraId="79622DC8" w14:textId="77777777" w:rsidR="00BE036A" w:rsidRDefault="00BE036A" w:rsidP="00BE036A"/>
    <w:p w14:paraId="42E8344F" w14:textId="77777777" w:rsidR="00287F17" w:rsidRPr="001E2A39" w:rsidRDefault="00287F17" w:rsidP="00287F17">
      <w:pPr>
        <w:rPr>
          <w:b/>
        </w:rPr>
      </w:pPr>
      <w:r w:rsidRPr="001E2A39">
        <w:rPr>
          <w:b/>
        </w:rPr>
        <w:t xml:space="preserve">6. Monitoring dossierniveau (art. 3 lid 2d </w:t>
      </w:r>
      <w:proofErr w:type="spellStart"/>
      <w:r w:rsidRPr="001E2A39">
        <w:rPr>
          <w:b/>
        </w:rPr>
        <w:t>W</w:t>
      </w:r>
      <w:r>
        <w:rPr>
          <w:b/>
        </w:rPr>
        <w:t>wft</w:t>
      </w:r>
      <w:proofErr w:type="spellEnd"/>
      <w:r w:rsidRPr="001E2A39">
        <w:rPr>
          <w:b/>
        </w:rPr>
        <w:t xml:space="preserve"> 2018)</w:t>
      </w:r>
    </w:p>
    <w:p w14:paraId="612B8B18" w14:textId="77777777" w:rsidR="00287F17" w:rsidRDefault="00287F17" w:rsidP="00287F17"/>
    <w:p w14:paraId="5E841419" w14:textId="77777777" w:rsidR="00287F17" w:rsidRDefault="00287F17" w:rsidP="00287F17">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1</w:t>
      </w:r>
      <w:r w:rsidRPr="0051354F">
        <w:rPr>
          <w:b/>
          <w:bCs/>
          <w:color w:val="FF0000"/>
        </w:rPr>
        <w:t>:</w:t>
      </w:r>
      <w:r>
        <w:rPr>
          <w:b/>
          <w:bCs/>
          <w:color w:val="FF0000"/>
        </w:rPr>
        <w:t xml:space="preserve"> langer dan 6 maanden: verversing onderzoek</w:t>
      </w:r>
      <w:r>
        <w:t xml:space="preserve"> </w:t>
      </w:r>
    </w:p>
    <w:p w14:paraId="0C03F101" w14:textId="77777777" w:rsidR="00287F17" w:rsidRDefault="00287F17" w:rsidP="00287F17">
      <w:r>
        <w:t xml:space="preserve">Als een dossier langer dan zes maanden loopt, is de behandelaar verplicht bij de cliënten en de </w:t>
      </w:r>
      <w:proofErr w:type="spellStart"/>
      <w:r>
        <w:t>UBO’s</w:t>
      </w:r>
      <w:proofErr w:type="spellEnd"/>
      <w:r>
        <w:t xml:space="preserve"> navraag te doen of de situatie zoals bij aanvang werd medegedeeld, nog overeenstemt met de werkelijkheid.</w:t>
      </w:r>
    </w:p>
    <w:p w14:paraId="0E4178C0" w14:textId="77777777" w:rsidR="00287F17" w:rsidRDefault="00287F17" w:rsidP="00287F17"/>
    <w:p w14:paraId="00C218DF" w14:textId="77777777" w:rsidR="00287F17" w:rsidRDefault="00287F17" w:rsidP="00287F17">
      <w:r>
        <w:t xml:space="preserve">Hiertoe agendeert de medewerker een signalering in zijn agenda dat hij hernieuwd onderzoek doet een half jaar na aanvang van het dossier, naar de PEP-status en </w:t>
      </w:r>
      <w:proofErr w:type="spellStart"/>
      <w:r>
        <w:t>UBO’s</w:t>
      </w:r>
      <w:proofErr w:type="spellEnd"/>
      <w:r>
        <w:t xml:space="preserve"> .</w:t>
      </w:r>
    </w:p>
    <w:p w14:paraId="3140E28D" w14:textId="77777777" w:rsidR="00287F17" w:rsidRDefault="00287F17" w:rsidP="00287F17">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p>
    <w:p w14:paraId="21401644" w14:textId="77777777" w:rsidR="00287F17" w:rsidRDefault="00287F17" w:rsidP="00287F17">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r w:rsidRPr="0051354F">
        <w:rPr>
          <w:b/>
          <w:bCs/>
          <w:color w:val="FF0000"/>
        </w:rPr>
        <w:t>:</w:t>
      </w:r>
      <w:r>
        <w:rPr>
          <w:b/>
          <w:bCs/>
          <w:color w:val="FF0000"/>
        </w:rPr>
        <w:t xml:space="preserve"> geen verversing onderzoek</w:t>
      </w:r>
    </w:p>
    <w:p w14:paraId="32A2E1EB" w14:textId="77777777" w:rsidR="00287F17" w:rsidRDefault="00287F17" w:rsidP="00287F17">
      <w:r>
        <w:t>Gezien de aard van de opdrachten die aan ons kantoor worden verstrekt, kan het voorkomen dat dossiers langer lopen dan een half jaar. Omdat de contouren van het dossier bij aanvang komen vast te staan, ligt het niet in de rede te verwachten dat als er zich tijdens de behandeltijd van het dossier op PEP- of UBO-niveau iets voordoet, te veronderstellen dat daardoor een ander risiconiveau wordt bereikt en daarom heeft onze organisatie ervoor gekozen geen periodieke monitoring te laten plaatsvinden. Dit geldt natuurlijk niet voor nieuwe opdrachten van reeds bestaande en bekende relaties, daarvoor geldt dat het cliëntenonderzoek onverminderd moet plaatsvinden.//</w:t>
      </w:r>
    </w:p>
    <w:p w14:paraId="2DC1C0D6" w14:textId="77777777" w:rsidR="00287F17" w:rsidRPr="00272D97" w:rsidRDefault="00287F17" w:rsidP="00287F17">
      <w:pPr>
        <w:rPr>
          <w:b/>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2BACB475" w14:textId="77777777" w:rsidR="00272D97" w:rsidRDefault="00272D97" w:rsidP="00BE036A"/>
    <w:p w14:paraId="1B93B27D" w14:textId="77777777" w:rsidR="00BE036A" w:rsidRPr="001E2A39" w:rsidRDefault="00BE036A" w:rsidP="00BE036A">
      <w:pPr>
        <w:rPr>
          <w:b/>
        </w:rPr>
      </w:pPr>
      <w:r w:rsidRPr="001E2A39">
        <w:rPr>
          <w:b/>
        </w:rPr>
        <w:t>7. Herkomst van de middelen</w:t>
      </w:r>
    </w:p>
    <w:p w14:paraId="0C3331EA" w14:textId="77777777" w:rsidR="00BE036A" w:rsidRDefault="00BE036A" w:rsidP="00BE036A"/>
    <w:p w14:paraId="418190CD" w14:textId="6FC10BE7" w:rsidR="000D0D88" w:rsidRDefault="00CF3A58" w:rsidP="00C45F3B">
      <w:r>
        <w:t xml:space="preserve">Overweging: </w:t>
      </w:r>
      <w:r w:rsidR="000734AA">
        <w:t>a</w:t>
      </w:r>
      <w:r>
        <w:t xml:space="preserve">ls wij redelijkerwijs </w:t>
      </w:r>
      <w:r w:rsidR="000D0D88">
        <w:t xml:space="preserve">moeten </w:t>
      </w:r>
      <w:r>
        <w:t xml:space="preserve">vermoeden </w:t>
      </w:r>
      <w:r w:rsidR="000D0D88">
        <w:t xml:space="preserve">(hetgeen van toepassing is als we </w:t>
      </w:r>
      <w:r w:rsidR="000734AA">
        <w:t>de</w:t>
      </w:r>
      <w:r w:rsidR="000D0D88">
        <w:t xml:space="preserve"> herkomst van de middelen onderzoeken) </w:t>
      </w:r>
      <w:r>
        <w:t>dat de middelen afkomstig zijn uit een misdrijf en wij de herkomst van die middelen verhullen (</w:t>
      </w:r>
      <w:r w:rsidR="000D0D88">
        <w:t xml:space="preserve">door ze “mee te nemen” </w:t>
      </w:r>
      <w:r>
        <w:t xml:space="preserve">in een bepaalde transactie, als betaling of anderszins), maken we ons schuldig aan schuldwitwassen als bedoeld in artikel 420 </w:t>
      </w:r>
      <w:proofErr w:type="spellStart"/>
      <w:r>
        <w:t>Quater</w:t>
      </w:r>
      <w:proofErr w:type="spellEnd"/>
      <w:r>
        <w:t xml:space="preserve"> Wetboek van strafrecht. Als wij dit vermoeden omzetten in een melding als bedoeld in artikel 16 </w:t>
      </w:r>
      <w:proofErr w:type="spellStart"/>
      <w:r>
        <w:t>W</w:t>
      </w:r>
      <w:r w:rsidR="002C18F9">
        <w:t>wft</w:t>
      </w:r>
      <w:proofErr w:type="spellEnd"/>
      <w:r>
        <w:t xml:space="preserve">, komt ons de disculpatie als bedoeld in artikel 19 </w:t>
      </w:r>
      <w:proofErr w:type="spellStart"/>
      <w:r>
        <w:t>W</w:t>
      </w:r>
      <w:r w:rsidR="002C18F9">
        <w:t>wft</w:t>
      </w:r>
      <w:proofErr w:type="spellEnd"/>
      <w:r>
        <w:t xml:space="preserve"> toe. Hierin is mede het belang gelegen van de correcte toepassing van de </w:t>
      </w:r>
      <w:proofErr w:type="spellStart"/>
      <w:r>
        <w:t>W</w:t>
      </w:r>
      <w:r w:rsidR="002C18F9">
        <w:t>wft</w:t>
      </w:r>
      <w:proofErr w:type="spellEnd"/>
      <w:r>
        <w:t xml:space="preserve">. </w:t>
      </w:r>
    </w:p>
    <w:p w14:paraId="66603D73" w14:textId="77777777" w:rsidR="000D0D88" w:rsidRDefault="000D0D88" w:rsidP="00C45F3B"/>
    <w:p w14:paraId="230EA2F2" w14:textId="5BF29D32" w:rsidR="00C45F3B" w:rsidRDefault="00C45F3B" w:rsidP="00C45F3B">
      <w:r>
        <w:t xml:space="preserve">Op grond van het bepaalde in artikel 3 lid 2 sub d. </w:t>
      </w:r>
      <w:proofErr w:type="spellStart"/>
      <w:r>
        <w:t>W</w:t>
      </w:r>
      <w:r w:rsidR="002C18F9">
        <w:t>wft</w:t>
      </w:r>
      <w:proofErr w:type="spellEnd"/>
      <w:r>
        <w:t xml:space="preserve"> moet </w:t>
      </w:r>
      <w:r w:rsidRPr="00BF1C20">
        <w:rPr>
          <w:u w:val="single"/>
        </w:rPr>
        <w:t>zo nodig</w:t>
      </w:r>
      <w:r w:rsidRPr="00E94289">
        <w:t xml:space="preserve"> een onderzoek naar de bron van de middelen die bij de zakelijke relatie of de transactie gebruikt worden</w:t>
      </w:r>
      <w:r>
        <w:t xml:space="preserve">, worden gedaan. </w:t>
      </w:r>
    </w:p>
    <w:p w14:paraId="038DD597" w14:textId="77777777" w:rsidR="00C45F3B" w:rsidRDefault="00C45F3B" w:rsidP="00C45F3B"/>
    <w:p w14:paraId="0C47A03A" w14:textId="02681B3A" w:rsidR="00287F17" w:rsidRDefault="002443FE" w:rsidP="00287F17">
      <w:r>
        <w:t xml:space="preserve">Doordat wij gebruikmaken van </w:t>
      </w:r>
      <w:r w:rsidRPr="002443FE">
        <w:t>de AML-Tool</w:t>
      </w:r>
      <w:r>
        <w:t xml:space="preserve"> doen wij automatisch onderzoek naar de herkomst van de middelen</w:t>
      </w:r>
      <w:r w:rsidR="00287F17">
        <w:t>.</w:t>
      </w:r>
    </w:p>
    <w:p w14:paraId="20BBE7CF" w14:textId="77777777" w:rsidR="00385A67" w:rsidRDefault="00385A67" w:rsidP="00BE036A"/>
    <w:p w14:paraId="377D1583" w14:textId="1AD2719D" w:rsidR="00385A67" w:rsidRDefault="00385A67" w:rsidP="00385A67">
      <w:r>
        <w:t xml:space="preserve">In de Handvatten cliëntenonderzoek </w:t>
      </w:r>
      <w:proofErr w:type="spellStart"/>
      <w:r>
        <w:t>Wna</w:t>
      </w:r>
      <w:proofErr w:type="spellEnd"/>
      <w:r>
        <w:t xml:space="preserve"> en </w:t>
      </w:r>
      <w:proofErr w:type="spellStart"/>
      <w:r>
        <w:t>Wwft</w:t>
      </w:r>
      <w:proofErr w:type="spellEnd"/>
      <w:r>
        <w:t xml:space="preserve"> van de KNB 2019-10-17 wordt </w:t>
      </w:r>
      <w:r w:rsidR="006F327C">
        <w:t xml:space="preserve">het volgende </w:t>
      </w:r>
      <w:r>
        <w:t xml:space="preserve">geadviseerd: </w:t>
      </w:r>
    </w:p>
    <w:p w14:paraId="5564E1FE" w14:textId="77777777" w:rsidR="00C5385E" w:rsidRDefault="006F327C" w:rsidP="00385A67">
      <w:pPr>
        <w:rPr>
          <w:i/>
          <w:iCs/>
        </w:rPr>
      </w:pPr>
      <w:r>
        <w:rPr>
          <w:i/>
          <w:iCs/>
        </w:rPr>
        <w:t>‘</w:t>
      </w:r>
      <w:r w:rsidR="00385A67" w:rsidRPr="004C1D95">
        <w:rPr>
          <w:i/>
          <w:iCs/>
        </w:rPr>
        <w:t>Vraag naar de financiële omstandigheden van de cliënt c.q. diens beroep of achtergrond voor zover u daarmee nog niet bekend bent en leg uw bevindingen vast in het dossier</w:t>
      </w:r>
      <w:r w:rsidR="00385A67">
        <w:rPr>
          <w:i/>
          <w:iCs/>
        </w:rPr>
        <w:t>.</w:t>
      </w:r>
      <w:r>
        <w:rPr>
          <w:i/>
          <w:iCs/>
        </w:rPr>
        <w:t>’</w:t>
      </w:r>
      <w:r w:rsidR="005412F3">
        <w:rPr>
          <w:i/>
          <w:iCs/>
        </w:rPr>
        <w:t xml:space="preserve"> </w:t>
      </w:r>
    </w:p>
    <w:p w14:paraId="54AF244C" w14:textId="656D331D" w:rsidR="00385A67" w:rsidRPr="00392822" w:rsidRDefault="005412F3" w:rsidP="00385A67">
      <w:r>
        <w:t xml:space="preserve">In Bijlage </w:t>
      </w:r>
      <w:r w:rsidR="002443FE">
        <w:t>1</w:t>
      </w:r>
      <w:r>
        <w:t xml:space="preserve"> schetsen wij een paar voorbeelden om dit meer te laten spreken.</w:t>
      </w:r>
    </w:p>
    <w:p w14:paraId="498A57C3" w14:textId="77777777" w:rsidR="00B81CBB" w:rsidRDefault="00B81CBB" w:rsidP="00385A67"/>
    <w:p w14:paraId="5B55BE89" w14:textId="77777777" w:rsidR="00B81CBB" w:rsidRDefault="00B81CBB" w:rsidP="00B81CBB">
      <w:r>
        <w:t xml:space="preserve">In de concept Leidraad </w:t>
      </w:r>
      <w:proofErr w:type="spellStart"/>
      <w:r>
        <w:t>Wwft</w:t>
      </w:r>
      <w:proofErr w:type="spellEnd"/>
      <w:r>
        <w:t xml:space="preserve"> en </w:t>
      </w:r>
      <w:proofErr w:type="spellStart"/>
      <w:r>
        <w:t>Sw</w:t>
      </w:r>
      <w:proofErr w:type="spellEnd"/>
      <w:r>
        <w:t xml:space="preserve"> van het Ministerie van Financiën wordt het volgende vermeld: </w:t>
      </w:r>
    </w:p>
    <w:p w14:paraId="037B80CA" w14:textId="14E62EBF" w:rsidR="00B81CBB" w:rsidRPr="003E0000" w:rsidRDefault="00B81CBB" w:rsidP="00B81CBB">
      <w:pPr>
        <w:rPr>
          <w:i/>
          <w:iCs/>
        </w:rPr>
      </w:pPr>
      <w:r w:rsidRPr="003E0000">
        <w:rPr>
          <w:i/>
          <w:iCs/>
        </w:rPr>
        <w:t xml:space="preserve">“Bij cliëntenonderzoek is het uitgangspunt dat de </w:t>
      </w:r>
      <w:proofErr w:type="spellStart"/>
      <w:r w:rsidRPr="003E0000">
        <w:rPr>
          <w:i/>
          <w:iCs/>
        </w:rPr>
        <w:t>Wwft</w:t>
      </w:r>
      <w:proofErr w:type="spellEnd"/>
      <w:r w:rsidRPr="003E0000">
        <w:rPr>
          <w:i/>
          <w:iCs/>
        </w:rPr>
        <w:t>-instelling zo nodig onderzoek</w:t>
      </w:r>
    </w:p>
    <w:p w14:paraId="340871E4" w14:textId="77777777" w:rsidR="00B81CBB" w:rsidRPr="003E0000" w:rsidRDefault="00B81CBB" w:rsidP="00B81CBB">
      <w:pPr>
        <w:rPr>
          <w:i/>
          <w:iCs/>
        </w:rPr>
      </w:pPr>
      <w:r w:rsidRPr="003E0000">
        <w:rPr>
          <w:i/>
          <w:iCs/>
        </w:rPr>
        <w:t>verricht naar de bron van de middelen die bij een zakelijke relatie of transactie gebruikt worden.</w:t>
      </w:r>
    </w:p>
    <w:p w14:paraId="5A4565C6" w14:textId="27606100" w:rsidR="00B81CBB" w:rsidRPr="003E0000" w:rsidRDefault="00B81CBB" w:rsidP="00B81CBB">
      <w:pPr>
        <w:rPr>
          <w:i/>
          <w:iCs/>
        </w:rPr>
      </w:pPr>
      <w:r w:rsidRPr="003E0000">
        <w:rPr>
          <w:i/>
          <w:iCs/>
        </w:rPr>
        <w:t xml:space="preserve">De instelling dient verklaringen en objectieve en onafhankelijke documenten over de bron van de middelen als bewijsstukken vast te leggen in het cliëntendossier. Indien nodig stelt de </w:t>
      </w:r>
      <w:proofErr w:type="spellStart"/>
      <w:r w:rsidRPr="003E0000">
        <w:rPr>
          <w:i/>
          <w:iCs/>
        </w:rPr>
        <w:t>Wwft</w:t>
      </w:r>
      <w:proofErr w:type="spellEnd"/>
      <w:r w:rsidRPr="003E0000">
        <w:rPr>
          <w:i/>
          <w:iCs/>
        </w:rPr>
        <w:t>-instelling aanvullende vragen. Om de bron van de middelen die bij de zakelijke relatie gebruikt</w:t>
      </w:r>
    </w:p>
    <w:p w14:paraId="335E550A" w14:textId="77777777" w:rsidR="00B81CBB" w:rsidRPr="003E0000" w:rsidRDefault="00B81CBB" w:rsidP="00B81CBB">
      <w:pPr>
        <w:rPr>
          <w:i/>
          <w:iCs/>
        </w:rPr>
      </w:pPr>
      <w:r w:rsidRPr="003E0000">
        <w:rPr>
          <w:i/>
          <w:iCs/>
        </w:rPr>
        <w:t>worden te kennen, kan het ook nodig zijn om inzicht te hebben in de vermogenspositie van de</w:t>
      </w:r>
    </w:p>
    <w:p w14:paraId="44F140FE" w14:textId="77777777" w:rsidR="00B81CBB" w:rsidRPr="003E0000" w:rsidRDefault="00B81CBB" w:rsidP="00B81CBB">
      <w:pPr>
        <w:rPr>
          <w:i/>
          <w:iCs/>
        </w:rPr>
      </w:pPr>
      <w:r w:rsidRPr="003E0000">
        <w:rPr>
          <w:i/>
          <w:iCs/>
        </w:rPr>
        <w:t>cliënt. De instelling draagt zorg voor vastlegging van het uitgevoerde onderzoek naar de bron van</w:t>
      </w:r>
    </w:p>
    <w:p w14:paraId="76571A60" w14:textId="77777777" w:rsidR="00B81CBB" w:rsidRDefault="00B81CBB" w:rsidP="00B81CBB">
      <w:r w:rsidRPr="003E0000">
        <w:rPr>
          <w:i/>
          <w:iCs/>
        </w:rPr>
        <w:t>de middelen.”</w:t>
      </w:r>
    </w:p>
    <w:p w14:paraId="07CE5B81" w14:textId="77777777" w:rsidR="00B81CBB" w:rsidRDefault="00B81CBB"/>
    <w:p w14:paraId="02F984AF" w14:textId="77777777" w:rsidR="003D7F28" w:rsidRDefault="003D7F28" w:rsidP="003D7F28">
      <w:r>
        <w:t xml:space="preserve">Het BFT biedt een schema notariële </w:t>
      </w:r>
      <w:proofErr w:type="spellStart"/>
      <w:r>
        <w:t>onderzoeksplicht</w:t>
      </w:r>
      <w:proofErr w:type="spellEnd"/>
      <w:r>
        <w:t xml:space="preserve"> en geldverkeer, volg de link: </w:t>
      </w:r>
    </w:p>
    <w:p w14:paraId="3963DF7A" w14:textId="77777777" w:rsidR="003D7F28" w:rsidRDefault="003D7F28" w:rsidP="003D7F28">
      <w:hyperlink r:id="rId17" w:history="1">
        <w:r w:rsidRPr="005441F1">
          <w:rPr>
            <w:rStyle w:val="Hyperlink"/>
          </w:rPr>
          <w:t>https://www.bureauft.nl/media/q5xjsia5/bft-29102019-schema-notariele-onderzoeks-en-meldplicht-geldverkeer.pdf</w:t>
        </w:r>
      </w:hyperlink>
    </w:p>
    <w:p w14:paraId="7F84E059" w14:textId="77777777" w:rsidR="006A76DF" w:rsidRDefault="006A76DF" w:rsidP="00BE036A"/>
    <w:p w14:paraId="40266D48" w14:textId="1CBEADF9" w:rsidR="00BE036A" w:rsidRDefault="00C45F3B" w:rsidP="00BE036A">
      <w:r>
        <w:t xml:space="preserve">Op grond van het bepaalde in artikel 8 lid 5 sub b onder 2 </w:t>
      </w:r>
      <w:proofErr w:type="spellStart"/>
      <w:r>
        <w:t>W</w:t>
      </w:r>
      <w:r w:rsidR="00BF4BF5">
        <w:t>wft</w:t>
      </w:r>
      <w:proofErr w:type="spellEnd"/>
      <w:r>
        <w:t xml:space="preserve"> zal, a</w:t>
      </w:r>
      <w:r w:rsidR="00BE036A">
        <w:t xml:space="preserve">ls sprake is van een PEP of van een familielid van een PEP of een </w:t>
      </w:r>
      <w:proofErr w:type="spellStart"/>
      <w:r w:rsidR="00BE036A">
        <w:t>naastgeassocieerde</w:t>
      </w:r>
      <w:proofErr w:type="spellEnd"/>
      <w:r w:rsidR="00BE036A">
        <w:t xml:space="preserve"> van een PEP, de medewerker passende maatregelen treffen om de bron van het vermogen en van de middelen </w:t>
      </w:r>
      <w:r>
        <w:t xml:space="preserve">die bij deze zakelijke transactie gebruikt worden </w:t>
      </w:r>
      <w:r w:rsidR="00BE036A">
        <w:t>vast te stellen.</w:t>
      </w:r>
      <w:r>
        <w:t xml:space="preserve"> Deze regel laat geen ruimte voor een discretionaire invulling.</w:t>
      </w:r>
      <w:r w:rsidR="00C0365B" w:rsidRPr="00C0365B">
        <w:t xml:space="preserve"> </w:t>
      </w:r>
      <w:r w:rsidR="00C0365B">
        <w:t xml:space="preserve">Het onderzoek moet zich hier uitstrekken over de bron van het gehele vermogen van de PEP of van een familielid van een PEP of een </w:t>
      </w:r>
      <w:proofErr w:type="spellStart"/>
      <w:r w:rsidR="00C0365B">
        <w:t>naastgeassocieerde</w:t>
      </w:r>
      <w:proofErr w:type="spellEnd"/>
      <w:r w:rsidR="00C0365B">
        <w:t xml:space="preserve"> van een PEP.</w:t>
      </w:r>
    </w:p>
    <w:p w14:paraId="1D3B3E1F" w14:textId="2280B661" w:rsidR="00BE036A" w:rsidRDefault="00BE036A" w:rsidP="00BE036A"/>
    <w:p w14:paraId="7B1C7B43" w14:textId="77777777" w:rsidR="00385A67" w:rsidRDefault="00385A67" w:rsidP="00385A67">
      <w:r>
        <w:t xml:space="preserve">In de Handvatten cliëntenonderzoek </w:t>
      </w:r>
      <w:proofErr w:type="spellStart"/>
      <w:r>
        <w:t>Wna</w:t>
      </w:r>
      <w:proofErr w:type="spellEnd"/>
      <w:r>
        <w:t xml:space="preserve"> en </w:t>
      </w:r>
      <w:proofErr w:type="spellStart"/>
      <w:r>
        <w:t>Wwft</w:t>
      </w:r>
      <w:proofErr w:type="spellEnd"/>
      <w:r>
        <w:t xml:space="preserve"> van de KNB 2019-10-17 staat het volgende schema:</w:t>
      </w:r>
    </w:p>
    <w:p w14:paraId="23184D7E" w14:textId="77777777" w:rsidR="00385A67" w:rsidRDefault="00385A67" w:rsidP="00385A67"/>
    <w:p w14:paraId="178A86E7" w14:textId="77777777" w:rsidR="00ED0B2A" w:rsidRDefault="00385A67" w:rsidP="00385A67">
      <w:r>
        <w:t xml:space="preserve">Stap 1 Controleer of de gelden afkomstig zijn van de cliënt (a), van bekende banken, hypotheekverstrekkers, overheden of overheidsbedrijven (b) of een andere derde (c). </w:t>
      </w:r>
    </w:p>
    <w:p w14:paraId="5258E48E" w14:textId="7E57EB13" w:rsidR="00385A67" w:rsidRPr="004C1D95" w:rsidRDefault="00ED0B2A" w:rsidP="00385A67">
      <w:pPr>
        <w:rPr>
          <w:i/>
          <w:iCs/>
        </w:rPr>
      </w:pPr>
      <w:r w:rsidRPr="00ED0B2A">
        <w:t>NB</w:t>
      </w:r>
      <w:r>
        <w:rPr>
          <w:b/>
          <w:bCs/>
        </w:rPr>
        <w:t>:</w:t>
      </w:r>
      <w:r w:rsidR="00385A67">
        <w:t xml:space="preserve"> </w:t>
      </w:r>
      <w:r w:rsidR="00385A67" w:rsidRPr="004C1D95">
        <w:rPr>
          <w:i/>
          <w:iCs/>
        </w:rPr>
        <w:t xml:space="preserve">Als gelden worden bijgeschreven op de derdengeldenrekening moet worden geverifieerd of deze afkomstig zijn van een IBAN op naam van de partij die conform de nota van afrekening/factuur verplicht is de betaling te voldoen. Blijkt dit niet zo te zijn, doe nader onderzoek en meld het incident aan de compliance </w:t>
      </w:r>
      <w:proofErr w:type="spellStart"/>
      <w:r w:rsidR="00385A67" w:rsidRPr="004C1D95">
        <w:rPr>
          <w:i/>
          <w:iCs/>
        </w:rPr>
        <w:t>officer</w:t>
      </w:r>
      <w:proofErr w:type="spellEnd"/>
      <w:r w:rsidR="00385A67" w:rsidRPr="004C1D95">
        <w:rPr>
          <w:i/>
          <w:iCs/>
        </w:rPr>
        <w:t xml:space="preserve">. </w:t>
      </w:r>
    </w:p>
    <w:p w14:paraId="3744F1C1" w14:textId="77777777" w:rsidR="00385A67" w:rsidRPr="004C1D95" w:rsidRDefault="00385A67" w:rsidP="00385A67">
      <w:pPr>
        <w:rPr>
          <w:i/>
          <w:iCs/>
        </w:rPr>
      </w:pPr>
    </w:p>
    <w:p w14:paraId="529DAB47" w14:textId="77777777" w:rsidR="00BF4BF5" w:rsidRDefault="00385A67" w:rsidP="00385A67">
      <w:r>
        <w:t>Ad a.</w:t>
      </w:r>
      <w:r w:rsidR="00BF4BF5">
        <w:t>:</w:t>
      </w:r>
    </w:p>
    <w:p w14:paraId="6AFB4E9B" w14:textId="61D286B9" w:rsidR="00385A67" w:rsidRDefault="00385A67" w:rsidP="00385A67">
      <w:r>
        <w:t>- Onderzoek of de financiële transactie aansluit bij leeftijd, economisch profiel en beroep</w:t>
      </w:r>
    </w:p>
    <w:p w14:paraId="460373D0" w14:textId="77777777" w:rsidR="00385A67" w:rsidRDefault="00385A67" w:rsidP="00385A67">
      <w:r>
        <w:t>van de cliënt.</w:t>
      </w:r>
    </w:p>
    <w:p w14:paraId="0D7ED4CC" w14:textId="77777777" w:rsidR="00385A67" w:rsidRDefault="00385A67" w:rsidP="00385A67">
      <w:r>
        <w:t>- Onderzoek of sprake is van een aannemelijke verklaring voor de herkomst van de gelden.</w:t>
      </w:r>
    </w:p>
    <w:p w14:paraId="55B64E9B" w14:textId="648746AA" w:rsidR="00385A67" w:rsidRDefault="00385A67" w:rsidP="00385A67">
      <w:r>
        <w:t xml:space="preserve">- Doe verscherpt onderzoek bij de ontvangst van gelden uit een hoog risicoland </w:t>
      </w:r>
      <w:r w:rsidRPr="004C1D95">
        <w:rPr>
          <w:i/>
          <w:iCs/>
        </w:rPr>
        <w:t>(zie voor de lijst Draaiboek identificatie op grond van de Wet ter voorkoming van witwassen en financieren van terrorisme ("</w:t>
      </w:r>
      <w:proofErr w:type="spellStart"/>
      <w:r w:rsidRPr="004C1D95">
        <w:rPr>
          <w:i/>
          <w:iCs/>
        </w:rPr>
        <w:t>W</w:t>
      </w:r>
      <w:r w:rsidR="00BF4BF5">
        <w:rPr>
          <w:i/>
          <w:iCs/>
        </w:rPr>
        <w:t>wft</w:t>
      </w:r>
      <w:proofErr w:type="spellEnd"/>
      <w:r w:rsidRPr="004C1D95">
        <w:rPr>
          <w:i/>
          <w:iCs/>
        </w:rPr>
        <w:t>")</w:t>
      </w:r>
      <w:r>
        <w:t>: vraag cliënt om een toelichting.</w:t>
      </w:r>
    </w:p>
    <w:p w14:paraId="4DF26880" w14:textId="77777777" w:rsidR="00385A67" w:rsidRDefault="00385A67" w:rsidP="00385A67"/>
    <w:p w14:paraId="5CF3ACAA" w14:textId="77777777" w:rsidR="00BF4BF5" w:rsidRDefault="00385A67" w:rsidP="00385A67">
      <w:r>
        <w:t>Ad b.</w:t>
      </w:r>
      <w:r w:rsidR="00BF4BF5">
        <w:t>:</w:t>
      </w:r>
    </w:p>
    <w:p w14:paraId="679FC852" w14:textId="34AED155" w:rsidR="00385A67" w:rsidRDefault="00385A67" w:rsidP="00385A67">
      <w:r>
        <w:t>- In dit geval zal geen nader onderzoek nodig zijn.</w:t>
      </w:r>
    </w:p>
    <w:p w14:paraId="77D4D91D" w14:textId="77777777" w:rsidR="00385A67" w:rsidRDefault="00385A67" w:rsidP="00385A67"/>
    <w:p w14:paraId="2A51139D" w14:textId="77777777" w:rsidR="00BF4BF5" w:rsidRDefault="00385A67" w:rsidP="00385A67">
      <w:r>
        <w:t>Ad c.</w:t>
      </w:r>
      <w:r w:rsidR="00BF4BF5">
        <w:t>:</w:t>
      </w:r>
    </w:p>
    <w:p w14:paraId="3B9A19E2" w14:textId="31A18119" w:rsidR="00385A67" w:rsidRDefault="00385A67" w:rsidP="00385A67">
      <w:r>
        <w:t>- Vraag naar de titel van de betaling: lening, schenking, zo nodig gedocumenteerd.</w:t>
      </w:r>
    </w:p>
    <w:p w14:paraId="21DFBFC1" w14:textId="77777777" w:rsidR="00385A67" w:rsidRDefault="00385A67" w:rsidP="00385A67">
      <w:r>
        <w:t>- Vraag naar de relatie tussen de geldverstrekker en de cliënt. Onderzoek of de betaling te verklaren is.</w:t>
      </w:r>
    </w:p>
    <w:p w14:paraId="1FCC21FC" w14:textId="77777777" w:rsidR="00385A67" w:rsidRDefault="00385A67" w:rsidP="00385A67">
      <w:r>
        <w:t>- Leg de identiteit van de derde vast. Googel naam en vraag naar beroep.</w:t>
      </w:r>
    </w:p>
    <w:p w14:paraId="75409656" w14:textId="77777777" w:rsidR="00385A67" w:rsidRDefault="00385A67" w:rsidP="00385A67">
      <w:r>
        <w:t>- Onderzoek of de financiële transactie aansluit bij leeftijd, economisch profiel en beroep van de derde.</w:t>
      </w:r>
    </w:p>
    <w:p w14:paraId="49D4609F" w14:textId="77777777" w:rsidR="00385A67" w:rsidRDefault="00385A67" w:rsidP="00385A67">
      <w:r>
        <w:t>- Neem contact op met de derde. Verifieer of de gelden voor de transactie gebruikt mogen worden en geef voorlichting: over de fiscale gevolgen, schriftelijke vastlegging en de mogelijkheid om zekerheid te laten vestigen.</w:t>
      </w:r>
    </w:p>
    <w:p w14:paraId="738B8581" w14:textId="77777777" w:rsidR="00385A67" w:rsidRDefault="00385A67" w:rsidP="00385A67"/>
    <w:p w14:paraId="4A8DAC96" w14:textId="1BE2600B" w:rsidR="00385A67" w:rsidRDefault="00385A67" w:rsidP="00385A67">
      <w:r>
        <w:t>Stap 2 Bij twijfel aan de herkomst van de gelden:</w:t>
      </w:r>
    </w:p>
    <w:p w14:paraId="3822C0BF" w14:textId="4A4CDDDC" w:rsidR="00385A67" w:rsidRDefault="00385A67" w:rsidP="00385A67">
      <w:r>
        <w:t>- Win nadere informatie in bij de cliënt of, in overleg met de cliënt, bij een derde (b</w:t>
      </w:r>
      <w:r w:rsidR="00C33FDF">
        <w:t>ij</w:t>
      </w:r>
      <w:r>
        <w:t>v. accountant of belastingadviseur).</w:t>
      </w:r>
    </w:p>
    <w:p w14:paraId="28493974" w14:textId="77777777" w:rsidR="00385A67" w:rsidRDefault="00385A67" w:rsidP="00385A67">
      <w:r>
        <w:t xml:space="preserve">- Vraag </w:t>
      </w:r>
      <w:r w:rsidRPr="004C1D95">
        <w:rPr>
          <w:u w:val="single"/>
        </w:rPr>
        <w:t>zo nodig</w:t>
      </w:r>
      <w:r>
        <w:t xml:space="preserve"> stukken op (bv leningsovereenkomst, jaarstukken, belastingaangifte, deze laatste alleen als dat nodig is om de herkomst van de gelden verder te verduidelijken).</w:t>
      </w:r>
    </w:p>
    <w:p w14:paraId="1C2DD75B" w14:textId="77777777" w:rsidR="00385A67" w:rsidRDefault="00385A67" w:rsidP="00385A67"/>
    <w:p w14:paraId="0D07654F" w14:textId="568B562B" w:rsidR="00057C1D" w:rsidRDefault="00385A67" w:rsidP="00385A67">
      <w:r>
        <w:t xml:space="preserve">Stap 3 </w:t>
      </w:r>
    </w:p>
    <w:p w14:paraId="25AB8B16" w14:textId="63211030" w:rsidR="00385A67" w:rsidRDefault="00057C1D" w:rsidP="00057C1D">
      <w:r>
        <w:t xml:space="preserve">- </w:t>
      </w:r>
      <w:r w:rsidR="00385A67">
        <w:t xml:space="preserve">Weiger dienst als vragen niet naar genoegen worden beantwoord (artikel 21 lid 2 </w:t>
      </w:r>
      <w:proofErr w:type="spellStart"/>
      <w:r w:rsidR="00385A67">
        <w:t>Wna</w:t>
      </w:r>
      <w:proofErr w:type="spellEnd"/>
      <w:r w:rsidR="00385A67">
        <w:t>).</w:t>
      </w:r>
    </w:p>
    <w:p w14:paraId="4244E328" w14:textId="2E9E8E0F" w:rsidR="00385A67" w:rsidRDefault="00057C1D" w:rsidP="00057C1D">
      <w:r>
        <w:t xml:space="preserve">- </w:t>
      </w:r>
      <w:r w:rsidR="00385A67">
        <w:t>Stort gelden die op de derdengeldrekening zijn gestort, terug naar de rekening waarvan de gelden afkomstig zijn.</w:t>
      </w:r>
    </w:p>
    <w:p w14:paraId="40CB3983" w14:textId="77777777" w:rsidR="00EF5937" w:rsidRDefault="00EF5937" w:rsidP="00385A67"/>
    <w:p w14:paraId="67CB506B" w14:textId="3A759719" w:rsidR="00385A67" w:rsidRDefault="00385A67" w:rsidP="00385A67">
      <w:r>
        <w:t>Stap 4 Bepaal of een melding moet worden gedaan bij de FIU-Nederland.</w:t>
      </w:r>
    </w:p>
    <w:p w14:paraId="38E1D159" w14:textId="77777777" w:rsidR="00EF5937" w:rsidRDefault="00EF5937" w:rsidP="00385A67"/>
    <w:p w14:paraId="7DD8FF5F" w14:textId="294EC4D7" w:rsidR="00385A67" w:rsidRDefault="00385A67" w:rsidP="00385A67">
      <w:r>
        <w:t xml:space="preserve">Stap 5 Leg alle bevindingen vast in het dossier (in </w:t>
      </w:r>
      <w:r w:rsidR="0028020D" w:rsidRPr="0028020D">
        <w:t>de AML-Tool</w:t>
      </w:r>
      <w:r>
        <w:t>).</w:t>
      </w:r>
    </w:p>
    <w:p w14:paraId="40A1635F" w14:textId="77777777" w:rsidR="00385A67" w:rsidRDefault="00385A67" w:rsidP="00385A67"/>
    <w:p w14:paraId="4756515F" w14:textId="49CD144C" w:rsidR="00D45DEC" w:rsidRDefault="00D45DEC" w:rsidP="00BE036A"/>
    <w:p w14:paraId="517DED8D" w14:textId="77777777" w:rsidR="00C677B4" w:rsidRPr="004C1D95" w:rsidRDefault="00C677B4" w:rsidP="00C677B4">
      <w:pPr>
        <w:rPr>
          <w:b/>
          <w:bCs/>
        </w:rPr>
      </w:pPr>
      <w:r w:rsidRPr="004C1D95">
        <w:rPr>
          <w:b/>
          <w:bCs/>
        </w:rPr>
        <w:t>Betalingen aan de notaris</w:t>
      </w:r>
    </w:p>
    <w:p w14:paraId="670F29CA" w14:textId="77777777" w:rsidR="00C677B4" w:rsidRDefault="00C677B4" w:rsidP="00C677B4">
      <w:r>
        <w:t xml:space="preserve">In de Handvatten cliëntenonderzoek </w:t>
      </w:r>
      <w:proofErr w:type="spellStart"/>
      <w:r>
        <w:t>Wna</w:t>
      </w:r>
      <w:proofErr w:type="spellEnd"/>
      <w:r>
        <w:t xml:space="preserve"> en </w:t>
      </w:r>
      <w:proofErr w:type="spellStart"/>
      <w:r>
        <w:t>Wwft</w:t>
      </w:r>
      <w:proofErr w:type="spellEnd"/>
      <w:r>
        <w:t xml:space="preserve"> van de KNB 2019-10-17 wordt het volgende vermeld: </w:t>
      </w:r>
    </w:p>
    <w:p w14:paraId="4BC315FB" w14:textId="77777777" w:rsidR="00C677B4" w:rsidRDefault="00C677B4" w:rsidP="00C677B4"/>
    <w:p w14:paraId="162F11BB" w14:textId="77777777" w:rsidR="00C677B4" w:rsidRDefault="00C677B4" w:rsidP="00C677B4">
      <w:r>
        <w:t>- Betaling van meer dan € 2.500 aan de notaris in contanten: niet aannemen (Reglement contanten van de KNB).</w:t>
      </w:r>
    </w:p>
    <w:p w14:paraId="26C7FAB7" w14:textId="7A601FCE" w:rsidR="00C677B4" w:rsidRDefault="00C677B4" w:rsidP="00C677B4">
      <w:r>
        <w:t xml:space="preserve">- Storting in contanten van € 10.000 of meer: meldingsplicht op grond van de objectieve indicator van de </w:t>
      </w:r>
      <w:proofErr w:type="spellStart"/>
      <w:r>
        <w:t>W</w:t>
      </w:r>
      <w:r w:rsidR="00057C1D">
        <w:t>wft</w:t>
      </w:r>
      <w:proofErr w:type="spellEnd"/>
      <w:r>
        <w:t>.</w:t>
      </w:r>
    </w:p>
    <w:p w14:paraId="60EA18C4" w14:textId="54B11F31" w:rsidR="00C677B4" w:rsidRDefault="00C677B4" w:rsidP="00C677B4">
      <w:r>
        <w:t>NB Pinbetalingen zijn geen betalingen in contanten. Controleer of de pinbetaling van een rekening van de cliënt afkomstig is en of de herkomst verklaarbaar is.</w:t>
      </w:r>
    </w:p>
    <w:p w14:paraId="0FC512B0" w14:textId="77777777" w:rsidR="00C677B4" w:rsidRDefault="00C677B4" w:rsidP="00C677B4"/>
    <w:p w14:paraId="166AAA9A" w14:textId="77777777" w:rsidR="00C677B4" w:rsidRPr="004C1D95" w:rsidRDefault="00C677B4" w:rsidP="00C677B4">
      <w:pPr>
        <w:rPr>
          <w:b/>
          <w:bCs/>
        </w:rPr>
      </w:pPr>
      <w:r w:rsidRPr="004C1D95">
        <w:rPr>
          <w:b/>
          <w:bCs/>
        </w:rPr>
        <w:t>Betaling buiten de notaris om</w:t>
      </w:r>
    </w:p>
    <w:p w14:paraId="7A4033DB" w14:textId="77777777" w:rsidR="00C677B4" w:rsidRDefault="00C677B4" w:rsidP="00C677B4">
      <w:r>
        <w:t xml:space="preserve">In de Handvatten cliëntenonderzoek </w:t>
      </w:r>
      <w:proofErr w:type="spellStart"/>
      <w:r>
        <w:t>Wna</w:t>
      </w:r>
      <w:proofErr w:type="spellEnd"/>
      <w:r>
        <w:t xml:space="preserve"> en </w:t>
      </w:r>
      <w:proofErr w:type="spellStart"/>
      <w:r>
        <w:t>Wwft</w:t>
      </w:r>
      <w:proofErr w:type="spellEnd"/>
      <w:r>
        <w:t xml:space="preserve"> van de KNB 2019-10-17 wordt het volgende vermeld: </w:t>
      </w:r>
    </w:p>
    <w:p w14:paraId="0C12425C" w14:textId="77777777" w:rsidR="00C677B4" w:rsidRDefault="00C677B4" w:rsidP="00C677B4">
      <w:r>
        <w:t>- Laat partijen zelf in de akte kwijting verlenen.</w:t>
      </w:r>
    </w:p>
    <w:p w14:paraId="3388892E" w14:textId="77777777" w:rsidR="00C677B4" w:rsidRDefault="00C677B4" w:rsidP="00C677B4">
      <w:r>
        <w:t>- Neem alleen kwijting in de akte op als de notaris zelf kan vaststellen dat de koopsom is voldaan (bijvoorbeeld aan de hand van een betalingsbewijs of een geldleningsovereenkomst).</w:t>
      </w:r>
    </w:p>
    <w:p w14:paraId="180387AC" w14:textId="77777777" w:rsidR="00C677B4" w:rsidRDefault="00C677B4" w:rsidP="00C677B4">
      <w:r>
        <w:t>- Vraag bij verrekening informatie op over de vordering of schuld die wordt verrekend.</w:t>
      </w:r>
    </w:p>
    <w:p w14:paraId="5B907FA6" w14:textId="77777777" w:rsidR="00C677B4" w:rsidRDefault="00C677B4" w:rsidP="00BE036A"/>
    <w:p w14:paraId="557C9721" w14:textId="2A06704C" w:rsidR="00BE036A" w:rsidRPr="001E2A39" w:rsidRDefault="00BE036A" w:rsidP="00BE036A">
      <w:pPr>
        <w:rPr>
          <w:b/>
        </w:rPr>
      </w:pPr>
      <w:r w:rsidRPr="001E2A39">
        <w:rPr>
          <w:b/>
        </w:rPr>
        <w:t>8.</w:t>
      </w:r>
      <w:r>
        <w:rPr>
          <w:b/>
        </w:rPr>
        <w:t xml:space="preserve"> </w:t>
      </w:r>
      <w:r w:rsidRPr="001E2A39">
        <w:rPr>
          <w:b/>
        </w:rPr>
        <w:t xml:space="preserve">Procedure meldingsplicht (§3.2 </w:t>
      </w:r>
      <w:proofErr w:type="spellStart"/>
      <w:r w:rsidRPr="001E2A39">
        <w:rPr>
          <w:b/>
        </w:rPr>
        <w:t>W</w:t>
      </w:r>
      <w:r w:rsidR="00057C1D">
        <w:rPr>
          <w:b/>
        </w:rPr>
        <w:t>wft</w:t>
      </w:r>
      <w:proofErr w:type="spellEnd"/>
      <w:r w:rsidRPr="001E2A39">
        <w:rPr>
          <w:b/>
        </w:rPr>
        <w:t xml:space="preserve"> 2018)</w:t>
      </w:r>
    </w:p>
    <w:p w14:paraId="27BEC33A" w14:textId="77777777" w:rsidR="00BE036A" w:rsidRDefault="00BE036A" w:rsidP="00BE036A"/>
    <w:p w14:paraId="022BC554" w14:textId="06A68ED5" w:rsidR="006A022B" w:rsidRPr="00E379B1" w:rsidRDefault="0045748F" w:rsidP="006A022B">
      <w:pPr>
        <w:rPr>
          <w:b/>
        </w:rPr>
      </w:pPr>
      <w:r w:rsidRPr="0045748F">
        <w:rPr>
          <w:b/>
          <w:highlight w:val="yellow"/>
        </w:rPr>
        <w:fldChar w:fldCharType="begin"/>
      </w:r>
      <w:r w:rsidRPr="0045748F">
        <w:rPr>
          <w:b/>
          <w:highlight w:val="yellow"/>
        </w:rPr>
        <w:instrText xml:space="preserve"> MACROBUTTON NoMacro **</w:instrText>
      </w:r>
      <w:r w:rsidRPr="0045748F">
        <w:rPr>
          <w:b/>
          <w:highlight w:val="yellow"/>
        </w:rPr>
        <w:fldChar w:fldCharType="end"/>
      </w:r>
      <w:r w:rsidR="006A022B" w:rsidRPr="0045748F">
        <w:rPr>
          <w:b/>
          <w:highlight w:val="yellow"/>
        </w:rPr>
        <w:t xml:space="preserve">Instructie vooraf: ga naar </w:t>
      </w:r>
      <w:hyperlink r:id="rId18" w:history="1">
        <w:r w:rsidR="006A022B" w:rsidRPr="0045748F">
          <w:rPr>
            <w:rStyle w:val="Hyperlink"/>
            <w:b/>
            <w:highlight w:val="yellow"/>
          </w:rPr>
          <w:t>https://www.fiu-nederland.nl/</w:t>
        </w:r>
      </w:hyperlink>
      <w:r w:rsidR="006A022B" w:rsidRPr="0045748F">
        <w:rPr>
          <w:b/>
          <w:highlight w:val="yellow"/>
        </w:rPr>
        <w:t xml:space="preserve"> en registreer uw organisatie, zodat u een inlognaam en een wachtwoord heeft.</w:t>
      </w:r>
    </w:p>
    <w:p w14:paraId="2A1AD1E4" w14:textId="77777777" w:rsidR="00BE036A" w:rsidRDefault="00BE036A" w:rsidP="00BE036A"/>
    <w:p w14:paraId="61F2DA96" w14:textId="77777777" w:rsidR="00BE036A" w:rsidRDefault="00BE036A" w:rsidP="00BE036A">
      <w:r>
        <w:t xml:space="preserve">Ons kantoor heeft zich geregistreerd op de website van het FIU. De gebruikersnaam en het wachtwoord zijn: _______________, respectievelijk ______________. </w:t>
      </w:r>
    </w:p>
    <w:p w14:paraId="3CB8A6A0" w14:textId="77777777" w:rsidR="00BE036A" w:rsidRDefault="00BE036A" w:rsidP="00BE036A"/>
    <w:p w14:paraId="12DD24D0" w14:textId="00A7A545" w:rsidR="00BE036A" w:rsidRDefault="0028020D" w:rsidP="00BE036A">
      <w:r>
        <w:t>D</w:t>
      </w:r>
      <w:r w:rsidRPr="0028020D">
        <w:t>e AML-Tool</w:t>
      </w:r>
      <w:r>
        <w:t xml:space="preserve"> voert</w:t>
      </w:r>
      <w:r w:rsidR="00BE036A">
        <w:t xml:space="preserve"> het cliëntenonderzoek uit. </w:t>
      </w:r>
    </w:p>
    <w:p w14:paraId="48DA0D7D" w14:textId="77777777" w:rsidR="00BE036A" w:rsidRDefault="00BE036A" w:rsidP="00BE036A"/>
    <w:p w14:paraId="70444AA6" w14:textId="77777777" w:rsidR="00BE036A" w:rsidRDefault="00BE036A" w:rsidP="00BE036A">
      <w:r>
        <w:t>Indien er aanleiding is te melden, zal de medewerker met gebruikmaking van de bovenstaande inloggegevens de melding bij het F</w:t>
      </w:r>
      <w:r w:rsidR="00C45F3B">
        <w:t>IU</w:t>
      </w:r>
      <w:r>
        <w:t xml:space="preserve"> doen.</w:t>
      </w:r>
    </w:p>
    <w:p w14:paraId="06F0C522" w14:textId="77777777" w:rsidR="00BE036A" w:rsidRDefault="00BE036A" w:rsidP="00BE036A"/>
    <w:p w14:paraId="5DC76285" w14:textId="3A7C001D" w:rsidR="00BE036A" w:rsidRDefault="00BE036A" w:rsidP="00BE036A">
      <w:r>
        <w:t xml:space="preserve">Maak van elk infoscherm waar je data invult een screenshot en plak dat in </w:t>
      </w:r>
      <w:r w:rsidR="0028020D" w:rsidRPr="0028020D">
        <w:t>de AML-Tool</w:t>
      </w:r>
      <w:r>
        <w:t>, en zet er de datum bij.</w:t>
      </w:r>
    </w:p>
    <w:p w14:paraId="451B78DC" w14:textId="6692AA08" w:rsidR="00BE036A" w:rsidRDefault="00BE036A" w:rsidP="00BE036A"/>
    <w:p w14:paraId="2E2ACABD" w14:textId="074B3843" w:rsidR="00B81CBB" w:rsidRPr="001E2A39" w:rsidRDefault="00B81CBB" w:rsidP="00B81CBB">
      <w:pPr>
        <w:rPr>
          <w:b/>
        </w:rPr>
      </w:pPr>
      <w:r w:rsidRPr="001E2A39">
        <w:rPr>
          <w:b/>
        </w:rPr>
        <w:t>8.</w:t>
      </w:r>
      <w:r>
        <w:rPr>
          <w:b/>
        </w:rPr>
        <w:t>A. FIU vraagt gegevens op in een zaak waar de instelling niet of zijdelings bij betrokken is</w:t>
      </w:r>
      <w:r w:rsidRPr="001E2A39">
        <w:rPr>
          <w:b/>
        </w:rPr>
        <w:t xml:space="preserve"> (</w:t>
      </w:r>
      <w:r>
        <w:rPr>
          <w:b/>
        </w:rPr>
        <w:t>artikel 17</w:t>
      </w:r>
      <w:r w:rsidRPr="001E2A39">
        <w:rPr>
          <w:b/>
        </w:rPr>
        <w:t xml:space="preserve"> </w:t>
      </w:r>
      <w:proofErr w:type="spellStart"/>
      <w:r w:rsidRPr="001E2A39">
        <w:rPr>
          <w:b/>
        </w:rPr>
        <w:t>W</w:t>
      </w:r>
      <w:r w:rsidR="00057C1D">
        <w:rPr>
          <w:b/>
        </w:rPr>
        <w:t>wft</w:t>
      </w:r>
      <w:proofErr w:type="spellEnd"/>
      <w:r w:rsidRPr="001E2A39">
        <w:rPr>
          <w:b/>
        </w:rPr>
        <w:t xml:space="preserve"> 2018)</w:t>
      </w:r>
    </w:p>
    <w:p w14:paraId="1C90418D" w14:textId="77777777" w:rsidR="00057C1D" w:rsidRDefault="00057C1D" w:rsidP="00B81CBB"/>
    <w:p w14:paraId="3AB079E5" w14:textId="52F1AD40" w:rsidR="00B81CBB" w:rsidRDefault="00B81CBB" w:rsidP="00B81CBB">
      <w:r>
        <w:t>Ten behoeve van de uitvoering van genoemde taken heeft de FIU op grond van artikel</w:t>
      </w:r>
    </w:p>
    <w:p w14:paraId="1F4119BD" w14:textId="77777777" w:rsidR="00B81CBB" w:rsidRDefault="00B81CBB" w:rsidP="00B81CBB">
      <w:r>
        <w:t xml:space="preserve">17 </w:t>
      </w:r>
      <w:proofErr w:type="spellStart"/>
      <w:r>
        <w:t>Wwft</w:t>
      </w:r>
      <w:proofErr w:type="spellEnd"/>
      <w:r>
        <w:t xml:space="preserve"> niet alleen de bevoegdheid om gegevens of inlichtingen op te vragen bij een </w:t>
      </w:r>
      <w:proofErr w:type="spellStart"/>
      <w:r>
        <w:t>Wwft</w:t>
      </w:r>
      <w:proofErr w:type="spellEnd"/>
      <w:r>
        <w:t>-instelling die een melding heeft gedaan, maar ook om gegevens of inlichtingen op te vragen bij een</w:t>
      </w:r>
    </w:p>
    <w:p w14:paraId="1F852F72" w14:textId="77777777" w:rsidR="00B81CBB" w:rsidRDefault="00B81CBB" w:rsidP="00B81CBB">
      <w:r>
        <w:t xml:space="preserve">andere </w:t>
      </w:r>
      <w:proofErr w:type="spellStart"/>
      <w:r>
        <w:t>Wwft</w:t>
      </w:r>
      <w:proofErr w:type="spellEnd"/>
      <w:r>
        <w:t xml:space="preserve">-instelling indien die </w:t>
      </w:r>
      <w:proofErr w:type="spellStart"/>
      <w:r>
        <w:t>Wwft</w:t>
      </w:r>
      <w:proofErr w:type="spellEnd"/>
      <w:r>
        <w:t>-instelling naar het oordeel van de FIU beschikt</w:t>
      </w:r>
    </w:p>
    <w:p w14:paraId="5379DC57" w14:textId="77777777" w:rsidR="00B81CBB" w:rsidRDefault="00B81CBB" w:rsidP="00B81CBB">
      <w:r>
        <w:t>over gegevens of inlichtingen die relevant zijn voor het analyseren door de FIU van een</w:t>
      </w:r>
    </w:p>
    <w:p w14:paraId="0506CABA" w14:textId="77777777" w:rsidR="00B81CBB" w:rsidRDefault="00B81CBB" w:rsidP="00B81CBB">
      <w:r>
        <w:t>(voorgenomen) transactie of zakelijke relatie. De FIU kan ook informatie opvragen in</w:t>
      </w:r>
    </w:p>
    <w:p w14:paraId="709C023B" w14:textId="77777777" w:rsidR="00B81CBB" w:rsidRDefault="00B81CBB" w:rsidP="00B81CBB">
      <w:r>
        <w:t>gevallen die niet rechtstreeks zijn gelieerd aan de melding van een ongebruikelijke transactie door</w:t>
      </w:r>
    </w:p>
    <w:p w14:paraId="2C0E8845" w14:textId="77777777" w:rsidR="00B81CBB" w:rsidRDefault="00B81CBB" w:rsidP="00B81CBB">
      <w:r>
        <w:t xml:space="preserve">een </w:t>
      </w:r>
      <w:proofErr w:type="spellStart"/>
      <w:r>
        <w:t>Wwft</w:t>
      </w:r>
      <w:proofErr w:type="spellEnd"/>
      <w:r>
        <w:t>-instelling.</w:t>
      </w:r>
    </w:p>
    <w:p w14:paraId="448E9C34" w14:textId="77777777" w:rsidR="00B81CBB" w:rsidRDefault="00B81CBB" w:rsidP="00B81CBB"/>
    <w:p w14:paraId="2E0B4844" w14:textId="77777777" w:rsidR="00B81CBB" w:rsidRDefault="00B81CBB" w:rsidP="00B81CBB">
      <w:r>
        <w:t xml:space="preserve">Het belang van het onderzoek van de FIU rechtvaardigt dat een </w:t>
      </w:r>
      <w:proofErr w:type="spellStart"/>
      <w:r>
        <w:t>Wwft</w:t>
      </w:r>
      <w:proofErr w:type="spellEnd"/>
      <w:r>
        <w:t>-instelling die een</w:t>
      </w:r>
    </w:p>
    <w:p w14:paraId="01E01639" w14:textId="77777777" w:rsidR="00B81CBB" w:rsidRDefault="00B81CBB" w:rsidP="00B81CBB">
      <w:r>
        <w:t>informatieverzoek van de FIU heeft ontvangen, daaraan gehoor dient te geven door de</w:t>
      </w:r>
    </w:p>
    <w:p w14:paraId="0CC1410E" w14:textId="77777777" w:rsidR="00B81CBB" w:rsidRDefault="00B81CBB" w:rsidP="00B81CBB">
      <w:r>
        <w:t>opgevraagde gegevens of inlichtingen onverwijld schriftelijk te verstrekken. In spoedeisende</w:t>
      </w:r>
    </w:p>
    <w:p w14:paraId="6CE98057" w14:textId="6BBA234D" w:rsidR="00B81CBB" w:rsidRDefault="00B81CBB" w:rsidP="00B81CBB">
      <w:r>
        <w:t xml:space="preserve">gevallen kan dat mondeling gebeuren. Onze organisatie kan zich daarbij op grond van </w:t>
      </w:r>
      <w:r w:rsidR="00926696">
        <w:t>h</w:t>
      </w:r>
      <w:r>
        <w:t xml:space="preserve">et bepaalde in artikel 18 A </w:t>
      </w:r>
      <w:proofErr w:type="spellStart"/>
      <w:r w:rsidR="00057C1D">
        <w:t>W</w:t>
      </w:r>
      <w:r>
        <w:t>wft</w:t>
      </w:r>
      <w:proofErr w:type="spellEnd"/>
      <w:r>
        <w:t xml:space="preserve"> niet op onze geheimhoudingsplicht beroepen en zal de opgevraagde informatie aan de FIU dienen te verstrekken.</w:t>
      </w:r>
    </w:p>
    <w:p w14:paraId="2391DF28" w14:textId="77777777" w:rsidR="00B81CBB" w:rsidRDefault="00B81CBB" w:rsidP="00BE036A"/>
    <w:p w14:paraId="16EBC8D6" w14:textId="77777777" w:rsidR="006A022B" w:rsidRPr="001E2A39" w:rsidRDefault="006A022B" w:rsidP="006A022B">
      <w:pPr>
        <w:rPr>
          <w:b/>
        </w:rPr>
      </w:pPr>
      <w:r w:rsidRPr="001E2A39">
        <w:rPr>
          <w:b/>
        </w:rPr>
        <w:t xml:space="preserve">9. Bewaarplicht (art. 33 en 34 </w:t>
      </w:r>
      <w:proofErr w:type="spellStart"/>
      <w:r w:rsidRPr="001E2A39">
        <w:rPr>
          <w:b/>
        </w:rPr>
        <w:t>W</w:t>
      </w:r>
      <w:r>
        <w:rPr>
          <w:b/>
        </w:rPr>
        <w:t>wft</w:t>
      </w:r>
      <w:proofErr w:type="spellEnd"/>
      <w:r w:rsidRPr="001E2A39">
        <w:rPr>
          <w:b/>
        </w:rPr>
        <w:t xml:space="preserve"> 2018)</w:t>
      </w:r>
    </w:p>
    <w:p w14:paraId="6E846C17" w14:textId="77777777" w:rsidR="006A022B" w:rsidRDefault="006A022B" w:rsidP="006A022B"/>
    <w:p w14:paraId="6933B0F4" w14:textId="72B1F061" w:rsidR="006A022B" w:rsidRDefault="0028020D" w:rsidP="006A022B">
      <w:r>
        <w:t>D</w:t>
      </w:r>
      <w:r w:rsidRPr="0028020D">
        <w:t>e AML-Tool</w:t>
      </w:r>
      <w:r>
        <w:t xml:space="preserve"> zorgt ervoor dat de gegevens</w:t>
      </w:r>
      <w:r w:rsidR="006A022B" w:rsidRPr="00FD182F">
        <w:t xml:space="preserve"> vijf jaar na afloop van het dossier </w:t>
      </w:r>
      <w:r w:rsidR="006A022B">
        <w:t xml:space="preserve">of na de melding als bedoeld in artikel 16 </w:t>
      </w:r>
      <w:proofErr w:type="spellStart"/>
      <w:r w:rsidR="006A022B">
        <w:t>Wwft</w:t>
      </w:r>
      <w:proofErr w:type="spellEnd"/>
      <w:r w:rsidR="006A022B">
        <w:t xml:space="preserve"> </w:t>
      </w:r>
      <w:r>
        <w:t xml:space="preserve">worden </w:t>
      </w:r>
      <w:r w:rsidR="006A022B" w:rsidRPr="00FD182F">
        <w:t>vernietigd..</w:t>
      </w:r>
    </w:p>
    <w:p w14:paraId="7F18718E" w14:textId="77777777" w:rsidR="006A022B" w:rsidRDefault="006A022B" w:rsidP="006A022B"/>
    <w:p w14:paraId="67C94A85" w14:textId="77777777" w:rsidR="006A022B" w:rsidRPr="001E2A39" w:rsidRDefault="006A022B" w:rsidP="006A022B">
      <w:pPr>
        <w:rPr>
          <w:b/>
        </w:rPr>
      </w:pPr>
      <w:r w:rsidRPr="001E2A39">
        <w:rPr>
          <w:b/>
        </w:rPr>
        <w:t xml:space="preserve">10. Gegevensbescherming (art. 34a </w:t>
      </w:r>
      <w:proofErr w:type="spellStart"/>
      <w:r w:rsidRPr="001E2A39">
        <w:rPr>
          <w:b/>
        </w:rPr>
        <w:t>W</w:t>
      </w:r>
      <w:r>
        <w:rPr>
          <w:b/>
        </w:rPr>
        <w:t>wft</w:t>
      </w:r>
      <w:proofErr w:type="spellEnd"/>
      <w:r w:rsidRPr="001E2A39">
        <w:rPr>
          <w:b/>
        </w:rPr>
        <w:t xml:space="preserve"> 2018)</w:t>
      </w:r>
    </w:p>
    <w:p w14:paraId="303CCCEC" w14:textId="77777777" w:rsidR="006A022B" w:rsidRDefault="006A022B" w:rsidP="006A022B"/>
    <w:p w14:paraId="278E5633" w14:textId="77777777" w:rsidR="006A022B" w:rsidRDefault="006A022B" w:rsidP="006A022B">
      <w:r w:rsidRPr="008A1E1E">
        <w:t xml:space="preserve">Ons kantoor beschikt over een kantooromgeving die wordt </w:t>
      </w:r>
      <w:proofErr w:type="spellStart"/>
      <w:r w:rsidRPr="008A1E1E">
        <w:t>geservice</w:t>
      </w:r>
      <w:r>
        <w:t>d</w:t>
      </w:r>
      <w:proofErr w:type="spellEnd"/>
      <w:r w:rsidRPr="008A1E1E">
        <w:t xml:space="preserve"> door </w:t>
      </w:r>
      <w:proofErr w:type="spellStart"/>
      <w:r>
        <w:t>NextLegal</w:t>
      </w:r>
      <w:proofErr w:type="spellEnd"/>
      <w:r w:rsidRPr="008A1E1E">
        <w:t>/</w:t>
      </w:r>
      <w:proofErr w:type="spellStart"/>
      <w:r>
        <w:t>Quantaris</w:t>
      </w:r>
      <w:proofErr w:type="spellEnd"/>
      <w:r w:rsidRPr="008A1E1E">
        <w:t>/van Brug</w:t>
      </w:r>
      <w:r>
        <w:t xml:space="preserve"> Software</w:t>
      </w:r>
      <w:r w:rsidRPr="008A1E1E">
        <w:t>/</w:t>
      </w:r>
      <w:proofErr w:type="spellStart"/>
      <w:r>
        <w:t>D</w:t>
      </w:r>
      <w:r w:rsidRPr="008A1E1E">
        <w:t>ir</w:t>
      </w:r>
      <w:r>
        <w:t>i</w:t>
      </w:r>
      <w:r w:rsidRPr="008A1E1E">
        <w:t>ct</w:t>
      </w:r>
      <w:proofErr w:type="spellEnd"/>
      <w:r w:rsidRPr="008A1E1E">
        <w:t>/</w:t>
      </w:r>
      <w:proofErr w:type="spellStart"/>
      <w:r>
        <w:t>Nobilex</w:t>
      </w:r>
      <w:proofErr w:type="spellEnd"/>
      <w:r>
        <w:t>/Softwarepartners Zuid/</w:t>
      </w:r>
      <w:proofErr w:type="spellStart"/>
      <w:r>
        <w:t>Atredis</w:t>
      </w:r>
      <w:proofErr w:type="spellEnd"/>
      <w:r>
        <w:t>/___________. D</w:t>
      </w:r>
      <w:r w:rsidRPr="008A1E1E">
        <w:t xml:space="preserve">eze dienstverlener heeft zich </w:t>
      </w:r>
      <w:r>
        <w:t xml:space="preserve">{{door middel van een verwerkersovereenkomst}} </w:t>
      </w:r>
      <w:r w:rsidRPr="008A1E1E">
        <w:t xml:space="preserve">verbonden de </w:t>
      </w:r>
      <w:r>
        <w:t>v</w:t>
      </w:r>
      <w:r w:rsidRPr="008A1E1E">
        <w:t>eiligheidsinstructies uit hoofde van de AVG toe te passen.</w:t>
      </w:r>
    </w:p>
    <w:p w14:paraId="1A8D9B8D" w14:textId="77777777" w:rsidR="006A022B" w:rsidRDefault="006A022B" w:rsidP="006A022B"/>
    <w:p w14:paraId="45952C77" w14:textId="77777777" w:rsidR="006A022B" w:rsidRDefault="006A022B" w:rsidP="006A022B">
      <w:r w:rsidRPr="0045748F">
        <w:rPr>
          <w:highlight w:val="red"/>
        </w:rPr>
        <w:t>In //alle arbeidsovereenkomsten// een reglement voor onze werknemers</w:t>
      </w:r>
      <w:r>
        <w:t xml:space="preserve"> hebben wij vastgelegd dat onze werknemers de regels van de AVG zullen naleven. In verwerkersovereenkomsten met onze softwareproviders en andere in onze opdracht opererende verwerkers van persoonsgegevens hebben wij eveneens vastgelegd dat de persoonsgegevens van onze relaties conform de regels van de AVG worden verwerkt. </w:t>
      </w:r>
    </w:p>
    <w:p w14:paraId="6D14314E" w14:textId="77777777" w:rsidR="00BE036A" w:rsidRDefault="00BE036A" w:rsidP="00BE036A"/>
    <w:p w14:paraId="3AB46929" w14:textId="14354F23" w:rsidR="00BE036A" w:rsidRPr="001E2A39" w:rsidRDefault="00BE036A" w:rsidP="00BE036A">
      <w:pPr>
        <w:rPr>
          <w:b/>
        </w:rPr>
      </w:pPr>
      <w:r w:rsidRPr="001E2A39">
        <w:rPr>
          <w:b/>
        </w:rPr>
        <w:t xml:space="preserve">11. Geheimhoudingsplicht (art. 18a </w:t>
      </w:r>
      <w:proofErr w:type="spellStart"/>
      <w:r w:rsidRPr="001E2A39">
        <w:rPr>
          <w:b/>
        </w:rPr>
        <w:t>W</w:t>
      </w:r>
      <w:r w:rsidR="00057C1D">
        <w:rPr>
          <w:b/>
        </w:rPr>
        <w:t>wft</w:t>
      </w:r>
      <w:proofErr w:type="spellEnd"/>
      <w:r w:rsidRPr="001E2A39">
        <w:rPr>
          <w:b/>
        </w:rPr>
        <w:t xml:space="preserve"> 2018)</w:t>
      </w:r>
    </w:p>
    <w:p w14:paraId="36330C0F" w14:textId="77777777" w:rsidR="00BE036A" w:rsidRDefault="00BE036A" w:rsidP="00BE036A"/>
    <w:p w14:paraId="13D44618" w14:textId="36606180" w:rsidR="006A022B" w:rsidRPr="0045748F" w:rsidRDefault="0045748F" w:rsidP="006A022B">
      <w:pPr>
        <w:rPr>
          <w:b/>
          <w:highlight w:val="yellow"/>
        </w:rPr>
      </w:pPr>
      <w:r w:rsidRPr="0045748F">
        <w:rPr>
          <w:b/>
          <w:highlight w:val="yellow"/>
        </w:rPr>
        <w:fldChar w:fldCharType="begin"/>
      </w:r>
      <w:r w:rsidRPr="0045748F">
        <w:rPr>
          <w:b/>
          <w:highlight w:val="yellow"/>
        </w:rPr>
        <w:instrText xml:space="preserve"> MACROBUTTON NoMacro **</w:instrText>
      </w:r>
      <w:r w:rsidRPr="0045748F">
        <w:rPr>
          <w:b/>
          <w:highlight w:val="yellow"/>
        </w:rPr>
        <w:fldChar w:fldCharType="end"/>
      </w:r>
      <w:r w:rsidR="006A022B" w:rsidRPr="0045748F">
        <w:rPr>
          <w:b/>
          <w:highlight w:val="yellow"/>
        </w:rPr>
        <w:t xml:space="preserve">Instructie vooraf: pas uw algemene voorwaarden aan </w:t>
      </w:r>
    </w:p>
    <w:p w14:paraId="5BB6B208" w14:textId="77777777" w:rsidR="00BE036A" w:rsidRPr="0045748F" w:rsidRDefault="00BE036A" w:rsidP="00BE036A">
      <w:pPr>
        <w:rPr>
          <w:highlight w:val="yellow"/>
        </w:rPr>
      </w:pPr>
      <w:r w:rsidRPr="0045748F">
        <w:rPr>
          <w:highlight w:val="yellow"/>
        </w:rPr>
        <w:t xml:space="preserve">Neem daarin op: </w:t>
      </w:r>
    </w:p>
    <w:p w14:paraId="0AD8CE34" w14:textId="2FEB38FD" w:rsidR="00BE036A" w:rsidRPr="0045748F" w:rsidRDefault="00057C1D" w:rsidP="00057C1D">
      <w:pPr>
        <w:rPr>
          <w:highlight w:val="yellow"/>
        </w:rPr>
      </w:pPr>
      <w:r w:rsidRPr="0045748F">
        <w:rPr>
          <w:highlight w:val="yellow"/>
        </w:rPr>
        <w:t>1.</w:t>
      </w:r>
      <w:r w:rsidR="00BE036A" w:rsidRPr="0045748F">
        <w:rPr>
          <w:highlight w:val="yellow"/>
        </w:rPr>
        <w:t xml:space="preserve">Ons kantoor begint pas met de uitvoering van een opdracht als het onderzoek naar eventuele </w:t>
      </w:r>
      <w:proofErr w:type="spellStart"/>
      <w:r w:rsidR="00BE036A" w:rsidRPr="0045748F">
        <w:rPr>
          <w:highlight w:val="yellow"/>
        </w:rPr>
        <w:t>PEP’s</w:t>
      </w:r>
      <w:proofErr w:type="spellEnd"/>
      <w:r w:rsidR="00BE036A" w:rsidRPr="0045748F">
        <w:rPr>
          <w:highlight w:val="yellow"/>
        </w:rPr>
        <w:t xml:space="preserve">, </w:t>
      </w:r>
      <w:proofErr w:type="spellStart"/>
      <w:r w:rsidR="00BE036A" w:rsidRPr="0045748F">
        <w:rPr>
          <w:highlight w:val="yellow"/>
        </w:rPr>
        <w:t>UBO’s</w:t>
      </w:r>
      <w:proofErr w:type="spellEnd"/>
      <w:r w:rsidR="00BE036A" w:rsidRPr="0045748F">
        <w:rPr>
          <w:highlight w:val="yellow"/>
        </w:rPr>
        <w:t xml:space="preserve"> en het (verscherpte) cliëntenonderzoek en de herkomst van middelen is afgerond en ons kantoor geen redenen ziet om tot dienstweigering als bedoeld in artikel 21, lid 2 van de Wet op het notarisambt over te gaan.</w:t>
      </w:r>
    </w:p>
    <w:p w14:paraId="3A6B4695" w14:textId="77777777" w:rsidR="00BE036A" w:rsidRPr="0045748F" w:rsidRDefault="00BE036A" w:rsidP="00BE036A">
      <w:pPr>
        <w:rPr>
          <w:highlight w:val="yellow"/>
        </w:rPr>
      </w:pPr>
    </w:p>
    <w:p w14:paraId="407F839E" w14:textId="6DF60A83" w:rsidR="00BE036A" w:rsidRPr="0045748F" w:rsidRDefault="00BE036A" w:rsidP="00BE036A">
      <w:pPr>
        <w:rPr>
          <w:highlight w:val="yellow"/>
        </w:rPr>
      </w:pPr>
      <w:r w:rsidRPr="0045748F">
        <w:rPr>
          <w:highlight w:val="yellow"/>
        </w:rPr>
        <w:t>2.</w:t>
      </w:r>
      <w:r w:rsidR="00057C1D" w:rsidRPr="0045748F">
        <w:rPr>
          <w:highlight w:val="yellow"/>
        </w:rPr>
        <w:t xml:space="preserve"> </w:t>
      </w:r>
      <w:r w:rsidRPr="0045748F">
        <w:rPr>
          <w:highlight w:val="yellow"/>
        </w:rPr>
        <w:t xml:space="preserve">Voor de goede orde merken wij op dat wij de wettelijke verplichtingen uit hoofde van de </w:t>
      </w:r>
      <w:proofErr w:type="spellStart"/>
      <w:r w:rsidRPr="0045748F">
        <w:rPr>
          <w:highlight w:val="yellow"/>
        </w:rPr>
        <w:t>W</w:t>
      </w:r>
      <w:r w:rsidR="00057C1D" w:rsidRPr="0045748F">
        <w:rPr>
          <w:highlight w:val="yellow"/>
        </w:rPr>
        <w:t>wft</w:t>
      </w:r>
      <w:proofErr w:type="spellEnd"/>
      <w:r w:rsidRPr="0045748F">
        <w:rPr>
          <w:highlight w:val="yellow"/>
        </w:rPr>
        <w:t xml:space="preserve"> laten prevaleren boven de geheimhoudingsplicht op grond van de Wet op het notarisambt. </w:t>
      </w:r>
    </w:p>
    <w:p w14:paraId="76E914CB" w14:textId="77777777" w:rsidR="00BE036A" w:rsidRPr="0045748F" w:rsidRDefault="00BE036A" w:rsidP="00BE036A">
      <w:pPr>
        <w:rPr>
          <w:highlight w:val="yellow"/>
        </w:rPr>
      </w:pPr>
    </w:p>
    <w:p w14:paraId="66CFAC20" w14:textId="12FE442B" w:rsidR="00BE036A" w:rsidRPr="0045748F" w:rsidRDefault="00BE036A" w:rsidP="00BE036A">
      <w:pPr>
        <w:rPr>
          <w:highlight w:val="yellow"/>
        </w:rPr>
      </w:pPr>
      <w:r w:rsidRPr="0045748F">
        <w:rPr>
          <w:highlight w:val="yellow"/>
        </w:rPr>
        <w:t xml:space="preserve">3. De kosten die met de naleving van de </w:t>
      </w:r>
      <w:proofErr w:type="spellStart"/>
      <w:r w:rsidRPr="0045748F">
        <w:rPr>
          <w:highlight w:val="yellow"/>
        </w:rPr>
        <w:t>W</w:t>
      </w:r>
      <w:r w:rsidR="00057C1D" w:rsidRPr="0045748F">
        <w:rPr>
          <w:highlight w:val="yellow"/>
        </w:rPr>
        <w:t>wft</w:t>
      </w:r>
      <w:proofErr w:type="spellEnd"/>
      <w:r w:rsidRPr="0045748F">
        <w:rPr>
          <w:highlight w:val="yellow"/>
        </w:rPr>
        <w:t xml:space="preserve"> zijn gemoeid, belasten wij als volgt aan u door: </w:t>
      </w:r>
    </w:p>
    <w:p w14:paraId="480B358B" w14:textId="3F89F3C6" w:rsidR="00BE036A" w:rsidRPr="0045748F" w:rsidRDefault="00BE036A" w:rsidP="00BE036A">
      <w:pPr>
        <w:rPr>
          <w:highlight w:val="yellow"/>
        </w:rPr>
      </w:pPr>
      <w:r w:rsidRPr="0045748F">
        <w:rPr>
          <w:highlight w:val="yellow"/>
        </w:rPr>
        <w:t>//EUR 74? voor elk normaal cliëntenonderzoek, EUR 104 voor elk verscherpt onderzoek, EUR 74 voor elk UBO</w:t>
      </w:r>
      <w:r w:rsidR="00057C1D" w:rsidRPr="0045748F">
        <w:rPr>
          <w:highlight w:val="yellow"/>
        </w:rPr>
        <w:t>-</w:t>
      </w:r>
      <w:r w:rsidRPr="0045748F">
        <w:rPr>
          <w:highlight w:val="yellow"/>
        </w:rPr>
        <w:t>onderzoek, EUR 74 voor elk onderzoek naar de herkomst van de middelen en EUR 91 voor de vaststelling of we in voorkomend geval dienst moeten verlenen</w:t>
      </w:r>
      <w:r w:rsidR="001974A0" w:rsidRPr="0045748F">
        <w:rPr>
          <w:highlight w:val="yellow"/>
        </w:rPr>
        <w:t>.</w:t>
      </w:r>
      <w:r w:rsidRPr="0045748F">
        <w:rPr>
          <w:highlight w:val="yellow"/>
        </w:rPr>
        <w:t xml:space="preserve"> Deze kosten bent u ook verschuldigd als blijkt dat we de opdracht niet mogen uitvoeren in verband met het bepaalde in artikel 21, lid 3 </w:t>
      </w:r>
      <w:proofErr w:type="spellStart"/>
      <w:r w:rsidRPr="0045748F">
        <w:rPr>
          <w:highlight w:val="yellow"/>
        </w:rPr>
        <w:t>Wna</w:t>
      </w:r>
      <w:proofErr w:type="spellEnd"/>
      <w:r w:rsidRPr="0045748F">
        <w:rPr>
          <w:highlight w:val="yellow"/>
        </w:rPr>
        <w:t>.//</w:t>
      </w:r>
    </w:p>
    <w:p w14:paraId="7112013E" w14:textId="77777777" w:rsidR="00BE036A" w:rsidRPr="0045748F" w:rsidRDefault="00BE036A" w:rsidP="00BE036A">
      <w:pPr>
        <w:rPr>
          <w:highlight w:val="yellow"/>
        </w:rPr>
      </w:pPr>
    </w:p>
    <w:p w14:paraId="5AC68901" w14:textId="2A59B7B7" w:rsidR="00BE036A" w:rsidRPr="0045748F" w:rsidRDefault="001974A0" w:rsidP="00BE036A">
      <w:pPr>
        <w:rPr>
          <w:highlight w:val="yellow"/>
        </w:rPr>
      </w:pPr>
      <w:r w:rsidRPr="0045748F">
        <w:rPr>
          <w:highlight w:val="yellow"/>
        </w:rPr>
        <w:t>//</w:t>
      </w:r>
      <w:r w:rsidR="00BE036A" w:rsidRPr="0045748F">
        <w:rPr>
          <w:highlight w:val="yellow"/>
        </w:rPr>
        <w:t xml:space="preserve">Een </w:t>
      </w:r>
      <w:proofErr w:type="spellStart"/>
      <w:r w:rsidR="00BE036A" w:rsidRPr="0045748F">
        <w:rPr>
          <w:highlight w:val="yellow"/>
        </w:rPr>
        <w:t>W</w:t>
      </w:r>
      <w:r w:rsidR="00057C1D" w:rsidRPr="0045748F">
        <w:rPr>
          <w:highlight w:val="yellow"/>
        </w:rPr>
        <w:t>wft</w:t>
      </w:r>
      <w:proofErr w:type="spellEnd"/>
      <w:r w:rsidR="00BE036A" w:rsidRPr="0045748F">
        <w:rPr>
          <w:highlight w:val="yellow"/>
        </w:rPr>
        <w:t>-forfait, ter grootte van EUR ____</w:t>
      </w:r>
      <w:r w:rsidRPr="0045748F">
        <w:rPr>
          <w:highlight w:val="yellow"/>
        </w:rPr>
        <w:t xml:space="preserve"> per dossier//persoon</w:t>
      </w:r>
      <w:r w:rsidR="00BE036A" w:rsidRPr="0045748F">
        <w:rPr>
          <w:highlight w:val="yellow"/>
        </w:rPr>
        <w:t>.</w:t>
      </w:r>
    </w:p>
    <w:p w14:paraId="0D82D158" w14:textId="77777777" w:rsidR="00BE036A" w:rsidRPr="0045748F" w:rsidRDefault="00BE036A" w:rsidP="00BE036A">
      <w:pPr>
        <w:rPr>
          <w:highlight w:val="yellow"/>
        </w:rPr>
      </w:pPr>
    </w:p>
    <w:p w14:paraId="6EA5D89C" w14:textId="77777777" w:rsidR="00BE036A" w:rsidRPr="0045748F" w:rsidRDefault="001974A0" w:rsidP="00BE036A">
      <w:pPr>
        <w:rPr>
          <w:highlight w:val="yellow"/>
        </w:rPr>
      </w:pPr>
      <w:r w:rsidRPr="0045748F">
        <w:rPr>
          <w:highlight w:val="yellow"/>
        </w:rPr>
        <w:t>//</w:t>
      </w:r>
      <w:r w:rsidR="00BE036A" w:rsidRPr="0045748F">
        <w:rPr>
          <w:highlight w:val="yellow"/>
        </w:rPr>
        <w:t xml:space="preserve">Een opslag op ons uurtarief van </w:t>
      </w:r>
      <w:r w:rsidRPr="0045748F">
        <w:rPr>
          <w:highlight w:val="yellow"/>
        </w:rPr>
        <w:fldChar w:fldCharType="begin"/>
      </w:r>
      <w:r w:rsidRPr="0045748F">
        <w:rPr>
          <w:highlight w:val="yellow"/>
        </w:rPr>
        <w:instrText xml:space="preserve"> MACROBUTTON NoMacro **</w:instrText>
      </w:r>
      <w:r w:rsidRPr="0045748F">
        <w:rPr>
          <w:highlight w:val="yellow"/>
        </w:rPr>
        <w:fldChar w:fldCharType="end"/>
      </w:r>
      <w:r w:rsidR="00BE036A" w:rsidRPr="0045748F">
        <w:rPr>
          <w:highlight w:val="yellow"/>
        </w:rPr>
        <w:t>%.</w:t>
      </w:r>
    </w:p>
    <w:p w14:paraId="6B73C8FD" w14:textId="77777777" w:rsidR="00BE036A" w:rsidRPr="00D72173" w:rsidRDefault="00BE036A" w:rsidP="00BE036A">
      <w:pPr>
        <w:rPr>
          <w:b/>
        </w:rPr>
      </w:pPr>
      <w:r w:rsidRPr="0045748F">
        <w:rPr>
          <w:b/>
          <w:highlight w:val="yellow"/>
        </w:rPr>
        <w:t>Einde instructie vooraf</w:t>
      </w:r>
    </w:p>
    <w:p w14:paraId="53F2768A" w14:textId="77777777" w:rsidR="00BE036A" w:rsidRDefault="00BE036A" w:rsidP="00BE036A"/>
    <w:p w14:paraId="17BA63E0" w14:textId="77777777" w:rsidR="00BE036A" w:rsidRDefault="00BE036A" w:rsidP="00BE036A">
      <w:r>
        <w:t xml:space="preserve">In onze algemene voorwaarden hebben wij de volgende passages opgenomen: </w:t>
      </w:r>
    </w:p>
    <w:p w14:paraId="649656C0" w14:textId="77777777" w:rsidR="00BE036A" w:rsidRDefault="00BE036A" w:rsidP="00BE036A"/>
    <w:p w14:paraId="768ADD70" w14:textId="77777777" w:rsidR="00BE036A" w:rsidRDefault="00BE036A" w:rsidP="00BE036A">
      <w:r w:rsidRPr="0045748F">
        <w:rPr>
          <w:highlight w:val="yellow"/>
        </w:rPr>
        <w:t>Kopieer de tekst die u bij het uitvoeren van bovengenoemde instructie in uw algemene voorwaarden heeft opgenomen.</w:t>
      </w:r>
    </w:p>
    <w:p w14:paraId="485DFBC9" w14:textId="77777777" w:rsidR="00BE036A" w:rsidRDefault="00BE036A" w:rsidP="00BE036A"/>
    <w:p w14:paraId="58912FA6" w14:textId="77777777" w:rsidR="00BE036A" w:rsidRDefault="00BE036A" w:rsidP="00BE036A">
      <w:r>
        <w:t>Partijen met wie ons kantoor een zakelijke relatie aangaat, zijn aan deze voorwaarden gebonden.</w:t>
      </w:r>
    </w:p>
    <w:p w14:paraId="54DDE725" w14:textId="77777777" w:rsidR="00BE036A" w:rsidRDefault="00BE036A" w:rsidP="00BE036A"/>
    <w:p w14:paraId="5FF9493C" w14:textId="77777777" w:rsidR="00BE036A" w:rsidRDefault="00BE036A" w:rsidP="00BE036A">
      <w:r>
        <w:t>In ons periodiek kantoor overleg van… jongstleden is hieraan uitgebreid aandacht besteed.</w:t>
      </w:r>
    </w:p>
    <w:p w14:paraId="797B77FB" w14:textId="77777777" w:rsidR="00BE036A" w:rsidRDefault="00BE036A" w:rsidP="00BE036A"/>
    <w:p w14:paraId="10B6DBB0" w14:textId="4EE9B794" w:rsidR="00BE036A" w:rsidRPr="001E2A39" w:rsidRDefault="00BE036A" w:rsidP="00BE036A">
      <w:pPr>
        <w:rPr>
          <w:b/>
        </w:rPr>
      </w:pPr>
      <w:r w:rsidRPr="001E2A39">
        <w:rPr>
          <w:b/>
        </w:rPr>
        <w:t>12. Opleidingsplicht</w:t>
      </w:r>
      <w:r w:rsidR="00CA484E">
        <w:rPr>
          <w:b/>
        </w:rPr>
        <w:t>, doorlichting</w:t>
      </w:r>
      <w:r w:rsidRPr="001E2A39">
        <w:rPr>
          <w:b/>
        </w:rPr>
        <w:t xml:space="preserve"> en knowhow actueel (art. 35 </w:t>
      </w:r>
      <w:proofErr w:type="spellStart"/>
      <w:r w:rsidRPr="001E2A39">
        <w:rPr>
          <w:b/>
        </w:rPr>
        <w:t>W</w:t>
      </w:r>
      <w:r w:rsidR="00057C1D">
        <w:rPr>
          <w:b/>
        </w:rPr>
        <w:t>wft</w:t>
      </w:r>
      <w:proofErr w:type="spellEnd"/>
      <w:r w:rsidRPr="001E2A39">
        <w:rPr>
          <w:b/>
        </w:rPr>
        <w:t xml:space="preserve"> 2018)</w:t>
      </w:r>
    </w:p>
    <w:p w14:paraId="52169A05" w14:textId="77777777" w:rsidR="00BE036A" w:rsidRDefault="00BE036A" w:rsidP="00BE036A"/>
    <w:p w14:paraId="2447A3F1" w14:textId="77348945" w:rsidR="00CA484E" w:rsidRDefault="00CA484E" w:rsidP="00CA484E">
      <w:r>
        <w:t xml:space="preserve">Wij  bevorderen dat wij en onze medewerkers bekend zijn met de bepalingen uit de </w:t>
      </w:r>
      <w:proofErr w:type="spellStart"/>
      <w:r>
        <w:t>W</w:t>
      </w:r>
      <w:r w:rsidR="00057C1D">
        <w:t>wft</w:t>
      </w:r>
      <w:proofErr w:type="spellEnd"/>
      <w:r>
        <w:t xml:space="preserve"> en de lagere regelgeving. Dit doen wij door deel te nemen aan en onze medewerkers te laten deelnemen aan relevante opleidingen op dat gebied. Hiermee voldoen wij meteen aan de verplichting om ethiekpunten te behalen.</w:t>
      </w:r>
    </w:p>
    <w:p w14:paraId="6B690A46" w14:textId="77777777" w:rsidR="00CA484E" w:rsidRDefault="00CA484E" w:rsidP="00CA484E"/>
    <w:p w14:paraId="64566856" w14:textId="40D48AFF" w:rsidR="006A022B" w:rsidRPr="0045748F" w:rsidRDefault="0045748F" w:rsidP="006A022B">
      <w:pPr>
        <w:rPr>
          <w:b/>
          <w:highlight w:val="yellow"/>
        </w:rPr>
      </w:pPr>
      <w:r w:rsidRPr="0045748F">
        <w:rPr>
          <w:b/>
          <w:highlight w:val="yellow"/>
        </w:rPr>
        <w:fldChar w:fldCharType="begin"/>
      </w:r>
      <w:r w:rsidRPr="0045748F">
        <w:rPr>
          <w:b/>
          <w:highlight w:val="yellow"/>
        </w:rPr>
        <w:instrText xml:space="preserve"> MACROBUTTON NoMacro **</w:instrText>
      </w:r>
      <w:r w:rsidRPr="0045748F">
        <w:rPr>
          <w:b/>
          <w:highlight w:val="yellow"/>
        </w:rPr>
        <w:fldChar w:fldCharType="end"/>
      </w:r>
      <w:r w:rsidR="006A022B" w:rsidRPr="0045748F">
        <w:rPr>
          <w:b/>
          <w:highlight w:val="yellow"/>
        </w:rPr>
        <w:t>Instructie vooraf, maak het eerste item standaard praktijk:</w:t>
      </w:r>
    </w:p>
    <w:p w14:paraId="42B26E17" w14:textId="77777777" w:rsidR="00CA484E" w:rsidRDefault="00CA484E" w:rsidP="00CA484E">
      <w:r w:rsidRPr="0045748F">
        <w:rPr>
          <w:highlight w:val="yellow"/>
        </w:rPr>
        <w:t>Alvorens wij personeel aannemen, vragen wij om een verklaring omtrent gedrag.</w:t>
      </w:r>
    </w:p>
    <w:p w14:paraId="523641D2" w14:textId="77777777" w:rsidR="00CA484E" w:rsidRDefault="00CA484E" w:rsidP="00CA484E"/>
    <w:p w14:paraId="0687EA7D" w14:textId="181650D8" w:rsidR="00CA484E" w:rsidRDefault="00CA484E" w:rsidP="00CA484E">
      <w:r w:rsidRPr="0045748F">
        <w:rPr>
          <w:highlight w:val="yellow"/>
        </w:rPr>
        <w:t>Periodiek doorlichten</w:t>
      </w:r>
      <w:r>
        <w:t xml:space="preserve">: </w:t>
      </w:r>
      <w:r w:rsidR="00057C1D" w:rsidRPr="0045748F">
        <w:rPr>
          <w:highlight w:val="green"/>
        </w:rPr>
        <w:t>d</w:t>
      </w:r>
      <w:r w:rsidRPr="0045748F">
        <w:rPr>
          <w:highlight w:val="green"/>
        </w:rPr>
        <w:t xml:space="preserve">enk na over hoe je daaraan gaat voldoen. NB </w:t>
      </w:r>
      <w:r w:rsidR="00057C1D" w:rsidRPr="0045748F">
        <w:rPr>
          <w:highlight w:val="green"/>
        </w:rPr>
        <w:t>o</w:t>
      </w:r>
      <w:r w:rsidRPr="0045748F">
        <w:rPr>
          <w:highlight w:val="green"/>
        </w:rPr>
        <w:t>p dit moment weten wij niet wat er op dit vlak wordt verwacht en hoe je daar aan kunt voldoen. Laat ons s.v.p. weten als je hier bij een review tegen aanloopt: dan passen wij het model hierop aan.</w:t>
      </w:r>
      <w:r>
        <w:t xml:space="preserve">  </w:t>
      </w:r>
    </w:p>
    <w:p w14:paraId="2BAC0590" w14:textId="77777777" w:rsidR="00CA484E" w:rsidRPr="00272D97" w:rsidRDefault="00CA484E" w:rsidP="00CA484E">
      <w:pPr>
        <w:rPr>
          <w:b/>
        </w:rPr>
      </w:pPr>
      <w:r w:rsidRPr="0045748F">
        <w:rPr>
          <w:b/>
          <w:highlight w:val="yellow"/>
        </w:rPr>
        <w:t>Einde instructie vooraf</w:t>
      </w:r>
    </w:p>
    <w:p w14:paraId="6879D0AE" w14:textId="77777777" w:rsidR="00CA484E" w:rsidRDefault="00CA484E" w:rsidP="00BE036A"/>
    <w:p w14:paraId="481F9CAA" w14:textId="3C0950B8" w:rsidR="00BE036A" w:rsidRDefault="00BE036A" w:rsidP="00BE036A">
      <w:r w:rsidRPr="00AA77B2">
        <w:t xml:space="preserve">In ons </w:t>
      </w:r>
      <w:r>
        <w:t>periodiek</w:t>
      </w:r>
      <w:r w:rsidRPr="00AA77B2">
        <w:t xml:space="preserve"> kantooroverleg wordt elke keer stil gestaan bij het compl</w:t>
      </w:r>
      <w:r>
        <w:t>iance</w:t>
      </w:r>
      <w:r w:rsidRPr="00AA77B2">
        <w:t xml:space="preserve"> protocol</w:t>
      </w:r>
      <w:r w:rsidR="00E87F7B">
        <w:t>, de AML-Tool</w:t>
      </w:r>
      <w:r w:rsidRPr="00AA77B2">
        <w:t xml:space="preserve"> </w:t>
      </w:r>
      <w:r>
        <w:t>e</w:t>
      </w:r>
      <w:r w:rsidRPr="00AA77B2">
        <w:t>n het draaiboek.</w:t>
      </w:r>
      <w:r>
        <w:t xml:space="preserve"> Compliance is geen keuze, maar is van vitaal belang van een gezonde maatschappij en een florerend kantoor. Wij doen er dan ook alles aan om dit tot de algemene kernwaarden van ons kantoor te laten behoren. </w:t>
      </w:r>
    </w:p>
    <w:p w14:paraId="7FCA0058" w14:textId="79F0061F" w:rsidR="00BE036A" w:rsidRDefault="00BE036A" w:rsidP="00BE036A"/>
    <w:p w14:paraId="6C378A1E" w14:textId="3B69ACFB" w:rsidR="0063590C" w:rsidRDefault="0063590C" w:rsidP="0063590C">
      <w:r>
        <w:t xml:space="preserve">Wij zijn ons bewust van veranderingen in de maatschappij. Te denken valt aan financiering via </w:t>
      </w:r>
      <w:proofErr w:type="spellStart"/>
      <w:r w:rsidR="00057C1D">
        <w:t>c</w:t>
      </w:r>
      <w:r>
        <w:t>rowdfunding</w:t>
      </w:r>
      <w:proofErr w:type="spellEnd"/>
      <w:r>
        <w:t xml:space="preserve"> en betaling met </w:t>
      </w:r>
      <w:r w:rsidR="00057C1D">
        <w:t>c</w:t>
      </w:r>
      <w:r>
        <w:t xml:space="preserve">ryptovaluta. In het </w:t>
      </w:r>
      <w:r w:rsidR="00057C1D">
        <w:t>d</w:t>
      </w:r>
      <w:r>
        <w:t>raaiboek als bedoeld in hoofdstuk 2 worden deze actuele items nader behandeld.</w:t>
      </w:r>
    </w:p>
    <w:p w14:paraId="0827D2B8" w14:textId="77777777" w:rsidR="0063590C" w:rsidRDefault="0063590C" w:rsidP="00BE036A"/>
    <w:p w14:paraId="037C20F7" w14:textId="7723A8CE" w:rsidR="00BE036A" w:rsidRPr="001E2A39" w:rsidRDefault="00BE036A" w:rsidP="00BE036A">
      <w:pPr>
        <w:rPr>
          <w:b/>
        </w:rPr>
      </w:pPr>
      <w:r w:rsidRPr="001E2A39">
        <w:rPr>
          <w:b/>
        </w:rPr>
        <w:t xml:space="preserve">13. Misbruik derdengeldenrekening (art. 2c </w:t>
      </w:r>
      <w:proofErr w:type="spellStart"/>
      <w:r w:rsidRPr="001E2A39">
        <w:rPr>
          <w:b/>
        </w:rPr>
        <w:t>W</w:t>
      </w:r>
      <w:r w:rsidR="00057C1D">
        <w:rPr>
          <w:b/>
        </w:rPr>
        <w:t>wft</w:t>
      </w:r>
      <w:proofErr w:type="spellEnd"/>
      <w:r w:rsidRPr="001E2A39">
        <w:rPr>
          <w:b/>
        </w:rPr>
        <w:t xml:space="preserve"> 2018 en de NRA)</w:t>
      </w:r>
    </w:p>
    <w:p w14:paraId="4C0953E9" w14:textId="77777777" w:rsidR="00BE036A" w:rsidRDefault="00BE036A" w:rsidP="00BE036A"/>
    <w:p w14:paraId="1CE4E39E" w14:textId="39A4C050" w:rsidR="00BE036A" w:rsidRDefault="00BE036A" w:rsidP="00BE036A">
      <w:r>
        <w:t>D</w:t>
      </w:r>
      <w:r w:rsidRPr="00AA77B2">
        <w:t>e financiële afdeling van ons kantoor heeft de instructie ontvangen dat gelden die op de kanto</w:t>
      </w:r>
      <w:r>
        <w:t>o</w:t>
      </w:r>
      <w:r w:rsidRPr="00AA77B2">
        <w:t>r</w:t>
      </w:r>
      <w:r>
        <w:t>-</w:t>
      </w:r>
      <w:r w:rsidRPr="00AA77B2">
        <w:t xml:space="preserve"> en of derdengeldenrekening worden overgeboekt zonder dat daarvoor een nota van afrekening of factuur van ons kantoor is uitgegaan, onverwijld worden teruggeboekt</w:t>
      </w:r>
      <w:r>
        <w:t xml:space="preserve">. Wij beschouwen het zonder rechtsgrond overboeken van gelden als een subjectieve indicator dat er iets niet in orde is. Als we van de partij die overboekte alsnog de gegevens ontvangen die nodig zijn om een ongebruikelijke transactie te kunnen melden, </w:t>
      </w:r>
      <w:r w:rsidR="00575497">
        <w:t>g</w:t>
      </w:r>
      <w:r>
        <w:t>aan we dat doen.</w:t>
      </w:r>
    </w:p>
    <w:p w14:paraId="13FCF34D" w14:textId="77777777" w:rsidR="00BE036A" w:rsidRDefault="00BE036A" w:rsidP="00BE036A"/>
    <w:p w14:paraId="1BB1BE11" w14:textId="77777777" w:rsidR="0045748F" w:rsidRPr="001E2A39" w:rsidRDefault="0045748F" w:rsidP="0045748F">
      <w:pPr>
        <w:rPr>
          <w:b/>
        </w:rPr>
      </w:pPr>
      <w:r w:rsidRPr="001E2A39">
        <w:rPr>
          <w:b/>
        </w:rPr>
        <w:t>14</w:t>
      </w:r>
      <w:r>
        <w:rPr>
          <w:b/>
        </w:rPr>
        <w:t>.</w:t>
      </w:r>
      <w:r w:rsidRPr="001E2A39">
        <w:rPr>
          <w:b/>
        </w:rPr>
        <w:t xml:space="preserve"> Wát is witwassen</w:t>
      </w:r>
      <w:r>
        <w:rPr>
          <w:b/>
        </w:rPr>
        <w:t xml:space="preserve"> en financieren van terrorisme</w:t>
      </w:r>
      <w:r w:rsidRPr="001E2A39">
        <w:rPr>
          <w:b/>
        </w:rPr>
        <w:t xml:space="preserve">? (art. 2c </w:t>
      </w:r>
      <w:proofErr w:type="spellStart"/>
      <w:r w:rsidRPr="001E2A39">
        <w:rPr>
          <w:b/>
        </w:rPr>
        <w:t>W</w:t>
      </w:r>
      <w:r>
        <w:rPr>
          <w:b/>
        </w:rPr>
        <w:t>wft</w:t>
      </w:r>
      <w:proofErr w:type="spellEnd"/>
      <w:r w:rsidRPr="001E2A39">
        <w:rPr>
          <w:b/>
        </w:rPr>
        <w:t>- gedragslijnen)</w:t>
      </w:r>
    </w:p>
    <w:p w14:paraId="0CD55FBB" w14:textId="77777777" w:rsidR="0045748F" w:rsidRDefault="0045748F" w:rsidP="0045748F"/>
    <w:p w14:paraId="70C63C55" w14:textId="4D52335A" w:rsidR="0045748F" w:rsidRDefault="0045748F" w:rsidP="0045748F">
      <w:r w:rsidRPr="00635143">
        <w:t xml:space="preserve">In ons </w:t>
      </w:r>
      <w:r w:rsidRPr="00886902">
        <w:rPr>
          <w:highlight w:val="yellow"/>
        </w:rPr>
        <w:t>periodiek kantooroverleg wordt elke keer stil gestaan bij het compliance protocol</w:t>
      </w:r>
      <w:r w:rsidR="00E87F7B">
        <w:rPr>
          <w:highlight w:val="yellow"/>
        </w:rPr>
        <w:t>, de AML-Tool</w:t>
      </w:r>
      <w:r w:rsidRPr="00886902">
        <w:rPr>
          <w:highlight w:val="yellow"/>
        </w:rPr>
        <w:t xml:space="preserve"> en het draaiboek.</w:t>
      </w:r>
      <w:r>
        <w:t xml:space="preserve"> Op de website van het BFT is een notitie opgenomen over witwassen en financiering van terrorisme, volg de link </w:t>
      </w:r>
    </w:p>
    <w:p w14:paraId="1FC6BE7D" w14:textId="77777777" w:rsidR="00C904DB" w:rsidRPr="0091290A" w:rsidRDefault="00C904DB" w:rsidP="00C904DB">
      <w:pPr>
        <w:pStyle w:val="Tekstopmerking"/>
        <w:rPr>
          <w:rFonts w:asciiTheme="minorHAnsi" w:hAnsiTheme="minorHAnsi" w:cstheme="minorHAnsi"/>
          <w:sz w:val="22"/>
          <w:szCs w:val="22"/>
        </w:rPr>
      </w:pPr>
      <w:hyperlink r:id="rId19" w:history="1">
        <w:r w:rsidRPr="0091290A">
          <w:rPr>
            <w:rStyle w:val="Hyperlink"/>
            <w:rFonts w:asciiTheme="minorHAnsi" w:hAnsiTheme="minorHAnsi" w:cstheme="minorHAnsi"/>
            <w:sz w:val="22"/>
            <w:szCs w:val="22"/>
          </w:rPr>
          <w:t>https://www.bureauft.nl/media/354hm1eo/specifieke-leidraad-letter-d-en-letter-e.pdf</w:t>
        </w:r>
      </w:hyperlink>
    </w:p>
    <w:p w14:paraId="128F95A1" w14:textId="7A2C422A" w:rsidR="00683CEF" w:rsidRDefault="006A022B" w:rsidP="00BE036A">
      <w:r>
        <w:t xml:space="preserve"> </w:t>
      </w:r>
    </w:p>
    <w:p w14:paraId="296BF723" w14:textId="44E039C3" w:rsidR="00BE036A" w:rsidRPr="001E2A39" w:rsidRDefault="00BE036A" w:rsidP="00BE036A">
      <w:pPr>
        <w:rPr>
          <w:b/>
        </w:rPr>
      </w:pPr>
      <w:r w:rsidRPr="001E2A39">
        <w:rPr>
          <w:b/>
        </w:rPr>
        <w:t xml:space="preserve">15. Lopende dossiers: Overgangsrecht (art. 38 </w:t>
      </w:r>
      <w:proofErr w:type="spellStart"/>
      <w:r w:rsidRPr="001E2A39">
        <w:rPr>
          <w:b/>
        </w:rPr>
        <w:t>W</w:t>
      </w:r>
      <w:r w:rsidR="00575497">
        <w:rPr>
          <w:b/>
        </w:rPr>
        <w:t>wft</w:t>
      </w:r>
      <w:proofErr w:type="spellEnd"/>
      <w:r w:rsidRPr="001E2A39">
        <w:rPr>
          <w:b/>
        </w:rPr>
        <w:t xml:space="preserve"> 2018)</w:t>
      </w:r>
    </w:p>
    <w:p w14:paraId="2DF4D5A7" w14:textId="77777777" w:rsidR="00BE036A" w:rsidRDefault="00BE036A" w:rsidP="00BE036A"/>
    <w:p w14:paraId="24B53CA3" w14:textId="0BACA8B0" w:rsidR="00BE036A" w:rsidRDefault="00BE036A" w:rsidP="00BE036A">
      <w:r>
        <w:t>V</w:t>
      </w:r>
      <w:r w:rsidRPr="00635143">
        <w:t>oor relaties die bij ons kantoor bekend zijn van v</w:t>
      </w:r>
      <w:r>
        <w:t>óó</w:t>
      </w:r>
      <w:r w:rsidRPr="00635143">
        <w:t>r 25 juli 2018 geld</w:t>
      </w:r>
      <w:r>
        <w:t>t</w:t>
      </w:r>
      <w:r w:rsidRPr="00635143">
        <w:t xml:space="preserve"> dat</w:t>
      </w:r>
      <w:r w:rsidR="00575497">
        <w:t>,</w:t>
      </w:r>
      <w:r w:rsidRPr="00635143">
        <w:t xml:space="preserve"> indien zij zich met een nieuwe opdracht melden</w:t>
      </w:r>
      <w:r w:rsidR="00575497">
        <w:t>,</w:t>
      </w:r>
      <w:r w:rsidRPr="00635143">
        <w:t xml:space="preserve"> alsdan de volledige procedure als opgenomen in het draaiboek moet worden doorlopen. Als er reeds gewaarmerkte kopie</w:t>
      </w:r>
      <w:r>
        <w:t xml:space="preserve">ën </w:t>
      </w:r>
      <w:r w:rsidRPr="00635143">
        <w:t>van legitimatiebewijzen in ons bezit zijn en deze l</w:t>
      </w:r>
      <w:r>
        <w:t>egitimatie</w:t>
      </w:r>
      <w:r w:rsidRPr="00635143">
        <w:t>bewijzen nog geldig zijn, hoeft niet opnieuw om l</w:t>
      </w:r>
      <w:r>
        <w:t>egitimatie</w:t>
      </w:r>
      <w:r w:rsidRPr="00635143">
        <w:t xml:space="preserve"> te worden verzocht.</w:t>
      </w:r>
      <w:r>
        <w:t xml:space="preserve"> </w:t>
      </w:r>
    </w:p>
    <w:p w14:paraId="57E4124E" w14:textId="77777777" w:rsidR="00BE036A" w:rsidRDefault="00BE036A" w:rsidP="00BE036A"/>
    <w:p w14:paraId="639F130D" w14:textId="6914D7F0" w:rsidR="00BE036A" w:rsidRPr="001E2A39" w:rsidRDefault="00BE036A" w:rsidP="00BE036A">
      <w:pPr>
        <w:rPr>
          <w:b/>
        </w:rPr>
      </w:pPr>
      <w:r w:rsidRPr="001E2A39">
        <w:rPr>
          <w:b/>
        </w:rPr>
        <w:t>1</w:t>
      </w:r>
      <w:r>
        <w:rPr>
          <w:b/>
        </w:rPr>
        <w:t>6</w:t>
      </w:r>
      <w:r w:rsidRPr="001E2A39">
        <w:rPr>
          <w:b/>
        </w:rPr>
        <w:t xml:space="preserve">. </w:t>
      </w:r>
      <w:r>
        <w:rPr>
          <w:b/>
        </w:rPr>
        <w:t>Voortdurende controle</w:t>
      </w:r>
      <w:r w:rsidRPr="001E2A39">
        <w:rPr>
          <w:b/>
        </w:rPr>
        <w:t xml:space="preserve"> (art.</w:t>
      </w:r>
      <w:r>
        <w:rPr>
          <w:b/>
        </w:rPr>
        <w:t xml:space="preserve"> 3, lid 2 </w:t>
      </w:r>
      <w:r w:rsidR="007D30A1">
        <w:rPr>
          <w:b/>
        </w:rPr>
        <w:t>s</w:t>
      </w:r>
      <w:r>
        <w:rPr>
          <w:b/>
        </w:rPr>
        <w:t>ub d.</w:t>
      </w:r>
      <w:r w:rsidR="007D30A1">
        <w:rPr>
          <w:b/>
        </w:rPr>
        <w:t xml:space="preserve"> </w:t>
      </w:r>
      <w:proofErr w:type="spellStart"/>
      <w:r w:rsidRPr="001E2A39">
        <w:rPr>
          <w:b/>
        </w:rPr>
        <w:t>W</w:t>
      </w:r>
      <w:r w:rsidR="009F59A6">
        <w:rPr>
          <w:b/>
        </w:rPr>
        <w:t>wft</w:t>
      </w:r>
      <w:proofErr w:type="spellEnd"/>
      <w:r w:rsidRPr="001E2A39">
        <w:rPr>
          <w:b/>
        </w:rPr>
        <w:t xml:space="preserve"> 2018)</w:t>
      </w:r>
    </w:p>
    <w:p w14:paraId="68AAB5F5" w14:textId="77777777" w:rsidR="00BE036A" w:rsidRDefault="00BE036A" w:rsidP="00BE036A"/>
    <w:p w14:paraId="316C5079" w14:textId="77777777" w:rsidR="00073560" w:rsidRDefault="00073560" w:rsidP="00073560">
      <w:r>
        <w:t xml:space="preserve">Artikel 3, lid 2 sub d. </w:t>
      </w:r>
      <w:proofErr w:type="spellStart"/>
      <w:r>
        <w:t>Wwft</w:t>
      </w:r>
      <w:proofErr w:type="spellEnd"/>
      <w:r>
        <w:t xml:space="preserve"> bepaalt dat </w:t>
      </w:r>
      <w:r w:rsidRPr="0052131C">
        <w:t xml:space="preserve">een voortdurende controle op de zakelijke relatie en de tijdens de duur van deze relatie verrichte transacties </w:t>
      </w:r>
      <w:r>
        <w:t xml:space="preserve">moet worden </w:t>
      </w:r>
      <w:r w:rsidRPr="0052131C">
        <w:t>uit</w:t>
      </w:r>
      <w:r>
        <w:t>g</w:t>
      </w:r>
      <w:r w:rsidRPr="0052131C">
        <w:t>eoefen</w:t>
      </w:r>
      <w:r>
        <w:t xml:space="preserve">d. Dat is een bepaling die past bij banken en verzekeraars, die een doorlopende relatie onderhouden met hun cliënten. In onze notariële rechtspraktijk eindigen de relaties zodra de transactie is afgerond. Omdat de contouren van het dossier bij aanvang komen vast te staan, ligt het niet in de rede te verwachten dat als er zich tijdens de behandeltijd van het dossier op PEP- of UBO-niveau iets voordoet, te veronderstellen dat daardoor een ander risico niveau wordt bereikt en daarom heeft onze organisatie ervoor gekozen om onmiddellijk voorafgaand aan het passeren niet nogmaals een cliëntenonderzoek uit te voeren. In hoofdstuk 6 is uitgewerkt hoe wij daar mee omgaan. Als we tijdens de looptijd van het dossier kennis krijgen van een verzwaring van het risicoprofiel, kan dat aanleiding geven een verscherpt onderzoek uit te voeren. Stem dit af met de compliance </w:t>
      </w:r>
      <w:proofErr w:type="spellStart"/>
      <w:r>
        <w:t>officer</w:t>
      </w:r>
      <w:proofErr w:type="spellEnd"/>
      <w:r>
        <w:t>. Dit geldt natuurlijk niet voor nieuwe opdrachten van reeds bestaande en bekende relaties, daarvoor geldt dat het cliëntenonderzoek onverminderd moet plaatsvinden.</w:t>
      </w:r>
    </w:p>
    <w:p w14:paraId="1BAA1571" w14:textId="77777777" w:rsidR="00BE036A" w:rsidRDefault="00BE036A" w:rsidP="00BE036A"/>
    <w:p w14:paraId="670543F9" w14:textId="35419A03" w:rsidR="00BE036A" w:rsidRPr="001E2A39" w:rsidRDefault="00BE036A" w:rsidP="00BE036A">
      <w:pPr>
        <w:rPr>
          <w:b/>
        </w:rPr>
      </w:pPr>
      <w:r w:rsidRPr="001E2A39">
        <w:rPr>
          <w:b/>
        </w:rPr>
        <w:t>1</w:t>
      </w:r>
      <w:r>
        <w:rPr>
          <w:b/>
        </w:rPr>
        <w:t>7</w:t>
      </w:r>
      <w:r w:rsidRPr="001E2A39">
        <w:rPr>
          <w:b/>
        </w:rPr>
        <w:t xml:space="preserve">. </w:t>
      </w:r>
      <w:r>
        <w:rPr>
          <w:b/>
        </w:rPr>
        <w:t>Voortdurende verscherpte monitoring</w:t>
      </w:r>
      <w:r w:rsidRPr="001E2A39">
        <w:rPr>
          <w:b/>
        </w:rPr>
        <w:t xml:space="preserve"> (art.</w:t>
      </w:r>
      <w:r>
        <w:rPr>
          <w:b/>
        </w:rPr>
        <w:t xml:space="preserve"> 3, lid 2 </w:t>
      </w:r>
      <w:r w:rsidR="00064F45">
        <w:rPr>
          <w:b/>
        </w:rPr>
        <w:t>s</w:t>
      </w:r>
      <w:r>
        <w:rPr>
          <w:b/>
        </w:rPr>
        <w:t xml:space="preserve">ub d. en artikel 8, lid 5 sub </w:t>
      </w:r>
      <w:r w:rsidR="00064F45">
        <w:rPr>
          <w:b/>
        </w:rPr>
        <w:t xml:space="preserve">b. </w:t>
      </w:r>
      <w:r>
        <w:rPr>
          <w:b/>
        </w:rPr>
        <w:t>ten derde</w:t>
      </w:r>
      <w:r w:rsidRPr="001E2A39">
        <w:rPr>
          <w:b/>
        </w:rPr>
        <w:t xml:space="preserve"> </w:t>
      </w:r>
      <w:proofErr w:type="spellStart"/>
      <w:r w:rsidRPr="001E2A39">
        <w:rPr>
          <w:b/>
        </w:rPr>
        <w:t>W</w:t>
      </w:r>
      <w:r w:rsidR="009F59A6">
        <w:rPr>
          <w:b/>
        </w:rPr>
        <w:t>wft</w:t>
      </w:r>
      <w:proofErr w:type="spellEnd"/>
      <w:r w:rsidRPr="001E2A39">
        <w:rPr>
          <w:b/>
        </w:rPr>
        <w:t xml:space="preserve"> 2018)</w:t>
      </w:r>
    </w:p>
    <w:p w14:paraId="500DA2F0" w14:textId="77777777" w:rsidR="00BE036A" w:rsidRDefault="00BE036A" w:rsidP="00BE036A"/>
    <w:p w14:paraId="3630B837" w14:textId="27AF0E00" w:rsidR="00BE036A" w:rsidRDefault="00BE036A" w:rsidP="00BE036A">
      <w:r>
        <w:t xml:space="preserve">Artikel 8, lid 5, sub b ten derde </w:t>
      </w:r>
      <w:proofErr w:type="spellStart"/>
      <w:r>
        <w:t>W</w:t>
      </w:r>
      <w:r w:rsidR="009F59A6">
        <w:t>wft</w:t>
      </w:r>
      <w:proofErr w:type="spellEnd"/>
      <w:r>
        <w:t xml:space="preserve"> bepaalt dat de zakelijke relatie met een ongebruikelijk karakter doorlopend aan verscherpte controle is onderworpen. Dat is een bepaling die past bij banken en verzekeraars, die een doorlopende relatie onderhouden met hun cliënten. In </w:t>
      </w:r>
      <w:r w:rsidR="001974A0">
        <w:t>onze notariële</w:t>
      </w:r>
      <w:r>
        <w:t xml:space="preserve"> rechtspraktijk eindigen de relaties zodra de transactie is afgerond. Omdat de contouren van het dossier bij aanvang komen vast te staan, ligt het niet in de rede te verwachten dat als er zich tijdens de behandeltijd van het dossier op PEP- of UBO-niveau iets voordoet, te veronderstellen dat daardoor een ander risico niveau wordt bereikt en daarom heeft onze organisatie ervoor gekozen geen periodieke monitoring te laten plaatsvinden. Dit geldt natuurlijk niet voor nieuwe opdrachten van reeds bestaande en bekende relaties, daarvoor geldt dat het cliëntenonderzoek onverminderd moet plaatsvinden.</w:t>
      </w:r>
    </w:p>
    <w:p w14:paraId="01CEB51C" w14:textId="09E321D0" w:rsidR="00C677B4" w:rsidRDefault="00C677B4" w:rsidP="00BE036A">
      <w:pPr>
        <w:spacing w:line="240" w:lineRule="auto"/>
      </w:pPr>
    </w:p>
    <w:p w14:paraId="0F51573B" w14:textId="529F5B8C" w:rsidR="00B81CBB" w:rsidRPr="001E2A39" w:rsidRDefault="00B81CBB" w:rsidP="00B81CBB">
      <w:pPr>
        <w:rPr>
          <w:b/>
        </w:rPr>
      </w:pPr>
      <w:r w:rsidRPr="001E2A39">
        <w:rPr>
          <w:b/>
        </w:rPr>
        <w:t>1</w:t>
      </w:r>
      <w:r>
        <w:rPr>
          <w:b/>
        </w:rPr>
        <w:t>7</w:t>
      </w:r>
      <w:r w:rsidRPr="001E2A39">
        <w:rPr>
          <w:b/>
        </w:rPr>
        <w:t>.</w:t>
      </w:r>
      <w:r>
        <w:rPr>
          <w:b/>
        </w:rPr>
        <w:t>a.</w:t>
      </w:r>
      <w:r w:rsidRPr="001E2A39">
        <w:rPr>
          <w:b/>
        </w:rPr>
        <w:t xml:space="preserve"> </w:t>
      </w:r>
      <w:r>
        <w:rPr>
          <w:b/>
        </w:rPr>
        <w:t xml:space="preserve">Actueel houden van gegevens </w:t>
      </w:r>
      <w:r w:rsidRPr="001E2A39">
        <w:rPr>
          <w:b/>
        </w:rPr>
        <w:t>(art.</w:t>
      </w:r>
      <w:r>
        <w:rPr>
          <w:b/>
        </w:rPr>
        <w:t xml:space="preserve"> 3, lid 11</w:t>
      </w:r>
      <w:r w:rsidRPr="001E2A39">
        <w:rPr>
          <w:b/>
        </w:rPr>
        <w:t xml:space="preserve"> </w:t>
      </w:r>
      <w:proofErr w:type="spellStart"/>
      <w:r w:rsidRPr="001E2A39">
        <w:rPr>
          <w:b/>
        </w:rPr>
        <w:t>W</w:t>
      </w:r>
      <w:r w:rsidR="009F59A6">
        <w:rPr>
          <w:b/>
        </w:rPr>
        <w:t>wft</w:t>
      </w:r>
      <w:proofErr w:type="spellEnd"/>
      <w:r w:rsidRPr="001E2A39">
        <w:rPr>
          <w:b/>
        </w:rPr>
        <w:t xml:space="preserve"> 2018)</w:t>
      </w:r>
    </w:p>
    <w:p w14:paraId="3E8C2396" w14:textId="77777777" w:rsidR="00B81CBB" w:rsidRDefault="00B81CBB" w:rsidP="00B81CBB"/>
    <w:p w14:paraId="213E1154" w14:textId="2D2F4FCA" w:rsidR="00B81CBB" w:rsidRDefault="00B81CBB" w:rsidP="00B81CBB">
      <w:r>
        <w:t xml:space="preserve">Artikel 3, lid 11 </w:t>
      </w:r>
      <w:proofErr w:type="spellStart"/>
      <w:r>
        <w:t>W</w:t>
      </w:r>
      <w:r w:rsidR="009F59A6">
        <w:t>wft</w:t>
      </w:r>
      <w:proofErr w:type="spellEnd"/>
      <w:r>
        <w:t xml:space="preserve"> bepaalt dat de</w:t>
      </w:r>
      <w:r w:rsidRPr="003F6ABB">
        <w:t xml:space="preserve"> instelling redelijke maatregelen </w:t>
      </w:r>
      <w:r>
        <w:t xml:space="preserve">neemt </w:t>
      </w:r>
      <w:r w:rsidRPr="003F6ABB">
        <w:t xml:space="preserve">om ervoor te zorgen dat de gegevens die ingevolge het </w:t>
      </w:r>
      <w:r>
        <w:t>cliëntenonderzoek</w:t>
      </w:r>
      <w:r w:rsidRPr="003F6ABB">
        <w:t xml:space="preserve"> zijn verzameld over daar bedoelde personen, actueel gehouden worden. </w:t>
      </w:r>
      <w:r>
        <w:t>Dat is een bepaling die past bij banken en verzekeraars, die een doorlopende relatie onderhouden met hun cliënten. In onze notariële rechtspraktijk eindigen de relaties zodra de transactie is afgerond. Onze organisatie heeft er daarom voor gekozen hier geen actief beleid voor te maken.. Dit geldt natuurlijk niet als er indicatoren zijn gedurende de looptijd van het dossier die tot verhoging van de risicoclassificatie aanleiding geven.</w:t>
      </w:r>
    </w:p>
    <w:p w14:paraId="652B8334" w14:textId="77777777" w:rsidR="00B81CBB" w:rsidRDefault="00B81CBB" w:rsidP="00B81CBB"/>
    <w:p w14:paraId="60D87635" w14:textId="77777777" w:rsidR="00073560" w:rsidRPr="001E2A39" w:rsidRDefault="00073560" w:rsidP="00073560">
      <w:pPr>
        <w:rPr>
          <w:b/>
        </w:rPr>
      </w:pPr>
      <w:r w:rsidRPr="001E2A39">
        <w:rPr>
          <w:b/>
        </w:rPr>
        <w:t>1</w:t>
      </w:r>
      <w:r>
        <w:rPr>
          <w:b/>
        </w:rPr>
        <w:t>7.b.</w:t>
      </w:r>
      <w:r w:rsidRPr="001E2A39">
        <w:rPr>
          <w:b/>
        </w:rPr>
        <w:t xml:space="preserve"> </w:t>
      </w:r>
      <w:r>
        <w:rPr>
          <w:b/>
        </w:rPr>
        <w:t xml:space="preserve">Voorziening interne melding overtreding </w:t>
      </w:r>
      <w:proofErr w:type="spellStart"/>
      <w:r>
        <w:rPr>
          <w:b/>
        </w:rPr>
        <w:t>Wwft</w:t>
      </w:r>
      <w:proofErr w:type="spellEnd"/>
    </w:p>
    <w:p w14:paraId="6B3BB2FB" w14:textId="77777777" w:rsidR="00073560" w:rsidRDefault="00073560" w:rsidP="00073560"/>
    <w:p w14:paraId="4648BB67" w14:textId="6F4A302A" w:rsidR="00073560" w:rsidRDefault="00073560" w:rsidP="00073560">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1</w:t>
      </w:r>
    </w:p>
    <w:p w14:paraId="6C4E3E51" w14:textId="24C21FBF" w:rsidR="00073560" w:rsidRDefault="00073560" w:rsidP="00073560">
      <w:r>
        <w:t xml:space="preserve">Voor kleine kantoren: Gezien de aard en omvang van onze organisatie is er geen plaats voor een </w:t>
      </w:r>
      <w:r w:rsidRPr="00795967">
        <w:t xml:space="preserve">adequate voorzieningen, die het </w:t>
      </w:r>
      <w:r>
        <w:t xml:space="preserve">onze </w:t>
      </w:r>
      <w:r w:rsidRPr="00795967">
        <w:t xml:space="preserve">werknemers mogelijk maakt om een overtreding van de </w:t>
      </w:r>
      <w:proofErr w:type="spellStart"/>
      <w:r w:rsidRPr="00795967">
        <w:t>Wwft</w:t>
      </w:r>
      <w:proofErr w:type="spellEnd"/>
      <w:r w:rsidRPr="00795967">
        <w:t xml:space="preserve"> </w:t>
      </w:r>
      <w:r>
        <w:t xml:space="preserve">anoniem </w:t>
      </w:r>
      <w:r w:rsidRPr="00795967">
        <w:t>intern te melden.</w:t>
      </w:r>
    </w:p>
    <w:p w14:paraId="10B9A270" w14:textId="77777777" w:rsidR="00073560" w:rsidRDefault="00073560" w:rsidP="00073560">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1</w:t>
      </w:r>
      <w:r>
        <w:t xml:space="preserve"> </w:t>
      </w:r>
    </w:p>
    <w:p w14:paraId="402CC6A7" w14:textId="10CDCEBC" w:rsidR="00073560" w:rsidRDefault="00073560" w:rsidP="00073560">
      <w:pPr>
        <w:rPr>
          <w:b/>
          <w:bCs/>
          <w:color w:val="FF0000"/>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Alternatief 2</w:t>
      </w:r>
    </w:p>
    <w:p w14:paraId="3C9963A7" w14:textId="0C269B9E" w:rsidR="00073560" w:rsidRDefault="00073560" w:rsidP="00073560">
      <w:r>
        <w:t xml:space="preserve">Voor grote(re) kantoren: Gezien de aard en omvang van onze organisatie hebben wij – in onze vervulling van het bepaalde in de artikelen 20a en 20b </w:t>
      </w:r>
      <w:proofErr w:type="spellStart"/>
      <w:r>
        <w:t>Wwft</w:t>
      </w:r>
      <w:proofErr w:type="spellEnd"/>
      <w:r>
        <w:t xml:space="preserve"> – de volgende </w:t>
      </w:r>
      <w:r w:rsidRPr="00795967">
        <w:t xml:space="preserve">adequate voorzieningen, die het </w:t>
      </w:r>
      <w:r>
        <w:t xml:space="preserve">onze </w:t>
      </w:r>
      <w:r w:rsidRPr="00795967">
        <w:t xml:space="preserve">werknemers mogelijk maakt om een overtreding van de </w:t>
      </w:r>
      <w:proofErr w:type="spellStart"/>
      <w:r w:rsidRPr="00795967">
        <w:t>Wwft</w:t>
      </w:r>
      <w:proofErr w:type="spellEnd"/>
      <w:r w:rsidRPr="00795967">
        <w:t xml:space="preserve"> </w:t>
      </w:r>
      <w:r>
        <w:t xml:space="preserve">anoniem </w:t>
      </w:r>
      <w:r w:rsidRPr="00795967">
        <w:t>intern te melden</w:t>
      </w:r>
      <w:r>
        <w:t xml:space="preserve">, ingericht: melding van overtreding van de </w:t>
      </w:r>
      <w:proofErr w:type="spellStart"/>
      <w:r>
        <w:t>Wwft</w:t>
      </w:r>
      <w:proofErr w:type="spellEnd"/>
      <w:r>
        <w:t xml:space="preserve"> en van de </w:t>
      </w:r>
      <w:proofErr w:type="spellStart"/>
      <w:r>
        <w:t>Wna</w:t>
      </w:r>
      <w:proofErr w:type="spellEnd"/>
      <w:r>
        <w:t xml:space="preserve"> en de daarop gebaseerde gedragsregels en verordeningen dienen te geschieden bij: ________________// de compliance </w:t>
      </w:r>
      <w:proofErr w:type="spellStart"/>
      <w:r>
        <w:t>officer</w:t>
      </w:r>
      <w:proofErr w:type="spellEnd"/>
      <w:r>
        <w:t>. Deze persoon verkrijgt hierbij het intern werkende recht van verschoning en is derhalve gerechtigd en verplicht de bron van enige melding als bedoeld in dit hoofdstuk ten overstaan van iedereen binnen onze organisatie geheim te houden.</w:t>
      </w:r>
    </w:p>
    <w:p w14:paraId="6390C3A6" w14:textId="77777777" w:rsidR="00073560" w:rsidRPr="00272D97" w:rsidRDefault="00073560" w:rsidP="00073560">
      <w:pPr>
        <w:rPr>
          <w:b/>
        </w:rPr>
      </w:pPr>
      <w:r w:rsidRPr="0051354F">
        <w:rPr>
          <w:b/>
          <w:bCs/>
          <w:color w:val="FF0000"/>
        </w:rPr>
        <w:fldChar w:fldCharType="begin"/>
      </w:r>
      <w:r w:rsidRPr="0051354F">
        <w:rPr>
          <w:b/>
          <w:bCs/>
          <w:color w:val="FF0000"/>
        </w:rPr>
        <w:instrText xml:space="preserve"> MACROBUTTON NoMacro **</w:instrText>
      </w:r>
      <w:r w:rsidRPr="0051354F">
        <w:rPr>
          <w:b/>
          <w:bCs/>
          <w:color w:val="FF0000"/>
        </w:rPr>
        <w:fldChar w:fldCharType="end"/>
      </w:r>
      <w:r>
        <w:rPr>
          <w:b/>
          <w:bCs/>
          <w:color w:val="FF0000"/>
        </w:rPr>
        <w:t>Einde Alternatief 2</w:t>
      </w:r>
    </w:p>
    <w:p w14:paraId="5535BCB2" w14:textId="77777777" w:rsidR="00412CF9" w:rsidRPr="00272D97" w:rsidRDefault="00412CF9" w:rsidP="00B81CBB">
      <w:pPr>
        <w:rPr>
          <w:b/>
        </w:rPr>
      </w:pPr>
    </w:p>
    <w:p w14:paraId="3A3248E9" w14:textId="77777777" w:rsidR="00B81CBB" w:rsidRPr="001E2A39" w:rsidRDefault="00B81CBB" w:rsidP="00B81CBB">
      <w:pPr>
        <w:rPr>
          <w:b/>
        </w:rPr>
      </w:pPr>
      <w:r>
        <w:rPr>
          <w:b/>
        </w:rPr>
        <w:t>17.c</w:t>
      </w:r>
      <w:r w:rsidRPr="001E2A39">
        <w:rPr>
          <w:b/>
        </w:rPr>
        <w:t xml:space="preserve">. </w:t>
      </w:r>
      <w:r>
        <w:rPr>
          <w:b/>
        </w:rPr>
        <w:t>Geheimhouding</w:t>
      </w:r>
    </w:p>
    <w:p w14:paraId="4B896879" w14:textId="77777777" w:rsidR="00412CF9" w:rsidRDefault="00412CF9" w:rsidP="00B81CBB">
      <w:pPr>
        <w:spacing w:line="240" w:lineRule="auto"/>
      </w:pPr>
    </w:p>
    <w:p w14:paraId="3623D6FB" w14:textId="019EFE2B" w:rsidR="00B81CBB" w:rsidRDefault="00B81CBB" w:rsidP="00B81CBB">
      <w:pPr>
        <w:spacing w:line="240" w:lineRule="auto"/>
      </w:pPr>
      <w:r>
        <w:t xml:space="preserve">Op </w:t>
      </w:r>
      <w:proofErr w:type="spellStart"/>
      <w:r>
        <w:t>Wwft</w:t>
      </w:r>
      <w:proofErr w:type="spellEnd"/>
      <w:r>
        <w:t>-instellingen en de personen die voor hen werkzaam zijn, rust een algemene</w:t>
      </w:r>
    </w:p>
    <w:p w14:paraId="17FB27D7" w14:textId="77777777" w:rsidR="00B81CBB" w:rsidRDefault="00B81CBB" w:rsidP="00B81CBB">
      <w:pPr>
        <w:spacing w:line="240" w:lineRule="auto"/>
      </w:pPr>
      <w:r>
        <w:t xml:space="preserve">geheimhoudingsplicht m.b.t. meldingen die de </w:t>
      </w:r>
      <w:proofErr w:type="spellStart"/>
      <w:r>
        <w:t>Wwft</w:t>
      </w:r>
      <w:proofErr w:type="spellEnd"/>
      <w:r>
        <w:t xml:space="preserve">-instelling op grond van artikel 16 </w:t>
      </w:r>
      <w:proofErr w:type="spellStart"/>
      <w:r>
        <w:t>Wwft</w:t>
      </w:r>
      <w:proofErr w:type="spellEnd"/>
      <w:r>
        <w:t xml:space="preserve"> aan de</w:t>
      </w:r>
    </w:p>
    <w:p w14:paraId="19340F9E" w14:textId="77777777" w:rsidR="00B81CBB" w:rsidRDefault="00B81CBB" w:rsidP="00B81CBB">
      <w:pPr>
        <w:spacing w:line="240" w:lineRule="auto"/>
      </w:pPr>
      <w:r>
        <w:t xml:space="preserve">FIU heeft gedaan en over nadere inlichtingen die de </w:t>
      </w:r>
      <w:proofErr w:type="spellStart"/>
      <w:r>
        <w:t>Wwft</w:t>
      </w:r>
      <w:proofErr w:type="spellEnd"/>
      <w:r>
        <w:t>-instelling op grond van artikel</w:t>
      </w:r>
    </w:p>
    <w:p w14:paraId="7D47CFD3" w14:textId="77777777" w:rsidR="00B81CBB" w:rsidRDefault="00B81CBB" w:rsidP="00B81CBB">
      <w:pPr>
        <w:spacing w:line="240" w:lineRule="auto"/>
      </w:pPr>
      <w:r>
        <w:t xml:space="preserve">17 </w:t>
      </w:r>
      <w:proofErr w:type="spellStart"/>
      <w:r>
        <w:t>Wwft</w:t>
      </w:r>
      <w:proofErr w:type="spellEnd"/>
      <w:r>
        <w:t xml:space="preserve"> aan de FIU heeft verstrekt. Het feit dat een melding of informatieverstrekking</w:t>
      </w:r>
    </w:p>
    <w:p w14:paraId="46FCD108" w14:textId="77777777" w:rsidR="00B81CBB" w:rsidRDefault="00B81CBB" w:rsidP="00B81CBB">
      <w:pPr>
        <w:spacing w:line="240" w:lineRule="auto"/>
      </w:pPr>
      <w:r>
        <w:t>aanleiding is voor het verrichten van een onderzoek naar witwassen of terrorismefinanciering of het</w:t>
      </w:r>
    </w:p>
    <w:p w14:paraId="6BEBF1A7" w14:textId="77777777" w:rsidR="00B81CBB" w:rsidRDefault="00B81CBB" w:rsidP="00B81CBB">
      <w:pPr>
        <w:spacing w:line="240" w:lineRule="auto"/>
      </w:pPr>
      <w:r>
        <w:t xml:space="preserve">bestaan van een voornemen om een dergelijk onderzoek te verrichten, dienen </w:t>
      </w:r>
      <w:proofErr w:type="spellStart"/>
      <w:r>
        <w:t>Wwft</w:t>
      </w:r>
      <w:proofErr w:type="spellEnd"/>
      <w:r>
        <w:t>-instellingen en</w:t>
      </w:r>
    </w:p>
    <w:p w14:paraId="55A27406" w14:textId="77777777" w:rsidR="00B81CBB" w:rsidRDefault="00B81CBB" w:rsidP="00B81CBB">
      <w:pPr>
        <w:spacing w:line="240" w:lineRule="auto"/>
      </w:pPr>
      <w:r>
        <w:t>de personen die voor hen werkzaam zijn ook geheim te houden. Daarnaast zijn zij verplicht tot</w:t>
      </w:r>
    </w:p>
    <w:p w14:paraId="5449FACC" w14:textId="77777777" w:rsidR="00B81CBB" w:rsidRDefault="00B81CBB" w:rsidP="00B81CBB">
      <w:pPr>
        <w:spacing w:line="240" w:lineRule="auto"/>
      </w:pPr>
      <w:r>
        <w:t xml:space="preserve">geheimhouding van overleg over de naleving van artikel 16 </w:t>
      </w:r>
      <w:proofErr w:type="spellStart"/>
      <w:r>
        <w:t>Wwft</w:t>
      </w:r>
      <w:proofErr w:type="spellEnd"/>
      <w:r>
        <w:t>. Onze organisatie mag de cliënt mededelen dat een activiteit van deze cliënt onwettig is en de cliënt afraden deze activiteit uit te voeren. De mededeling mag echter niet meer inhouden dan het hier genoemde.</w:t>
      </w:r>
    </w:p>
    <w:p w14:paraId="35273E2D" w14:textId="77777777" w:rsidR="00B81CBB" w:rsidRDefault="00B81CBB" w:rsidP="00B81CBB">
      <w:pPr>
        <w:spacing w:line="240" w:lineRule="auto"/>
      </w:pPr>
    </w:p>
    <w:p w14:paraId="3D890490" w14:textId="77777777" w:rsidR="00B81CBB" w:rsidRDefault="00B81CBB" w:rsidP="00B81CBB">
      <w:pPr>
        <w:spacing w:line="240" w:lineRule="auto"/>
      </w:pPr>
      <w:r>
        <w:t xml:space="preserve">Bovengenoemde geheimhoudingsplicht rusten op </w:t>
      </w:r>
      <w:proofErr w:type="spellStart"/>
      <w:r>
        <w:t>Wwft</w:t>
      </w:r>
      <w:proofErr w:type="spellEnd"/>
      <w:r>
        <w:t>-instellingen en de personen die voor haar</w:t>
      </w:r>
    </w:p>
    <w:p w14:paraId="4C80D557" w14:textId="77777777" w:rsidR="00B81CBB" w:rsidRDefault="00B81CBB" w:rsidP="00B81CBB">
      <w:pPr>
        <w:spacing w:line="240" w:lineRule="auto"/>
      </w:pPr>
      <w:r>
        <w:t>werkzaam zijn. Een ieder die kennisneemt van gegevens waarvan hij weet of redelijkerwijs moet</w:t>
      </w:r>
    </w:p>
    <w:p w14:paraId="058539F5" w14:textId="77777777" w:rsidR="00B81CBB" w:rsidRDefault="00B81CBB" w:rsidP="00B81CBB">
      <w:pPr>
        <w:spacing w:line="240" w:lineRule="auto"/>
      </w:pPr>
      <w:r>
        <w:t xml:space="preserve">vermoeden dat ter zake van die gegevens op een </w:t>
      </w:r>
      <w:proofErr w:type="spellStart"/>
      <w:r>
        <w:t>Wwft</w:t>
      </w:r>
      <w:proofErr w:type="spellEnd"/>
      <w:r>
        <w:t>-instelling bedoelde</w:t>
      </w:r>
    </w:p>
    <w:p w14:paraId="630D2D31" w14:textId="77777777" w:rsidR="00B81CBB" w:rsidRDefault="00B81CBB" w:rsidP="00B81CBB">
      <w:pPr>
        <w:spacing w:line="240" w:lineRule="auto"/>
      </w:pPr>
      <w:r>
        <w:t>geheimhoudingverplichting rust, is eveneens verplicht tot geheimhouding.</w:t>
      </w:r>
    </w:p>
    <w:p w14:paraId="0B8B8BB1" w14:textId="77777777" w:rsidR="00B81CBB" w:rsidRDefault="00B81CBB" w:rsidP="00B81CBB">
      <w:pPr>
        <w:spacing w:line="240" w:lineRule="auto"/>
      </w:pPr>
      <w:r>
        <w:t>De wet kent in artikel 23 lid 6 een beperkt aantal uitzonderingen op de geheimhoudingsplicht, te weten gevallen waar het een mededeling betreft:</w:t>
      </w:r>
    </w:p>
    <w:p w14:paraId="037AC572" w14:textId="5D8DD348" w:rsidR="00B81CBB" w:rsidRDefault="00B81CBB" w:rsidP="00B81CBB">
      <w:pPr>
        <w:spacing w:line="240" w:lineRule="auto"/>
      </w:pPr>
      <w:r>
        <w:t>a. […]</w:t>
      </w:r>
      <w:r w:rsidR="00412CF9">
        <w:t>;</w:t>
      </w:r>
    </w:p>
    <w:p w14:paraId="468287DC" w14:textId="4557035C" w:rsidR="00412CF9" w:rsidRDefault="00412CF9" w:rsidP="00B81CBB">
      <w:pPr>
        <w:spacing w:line="240" w:lineRule="auto"/>
      </w:pPr>
      <w:r>
        <w:t xml:space="preserve">b. </w:t>
      </w:r>
      <w:r w:rsidR="008B76CD">
        <w:t>[…]</w:t>
      </w:r>
      <w:r>
        <w:t>;</w:t>
      </w:r>
    </w:p>
    <w:p w14:paraId="17F5461D" w14:textId="77777777" w:rsidR="00B81CBB" w:rsidRDefault="00B81CBB" w:rsidP="00B81CBB">
      <w:pPr>
        <w:spacing w:line="240" w:lineRule="auto"/>
      </w:pPr>
      <w:r>
        <w:t>c. tussen advocaten, notarissen, belastingadviseurs en andere instellingen als bedoeld in</w:t>
      </w:r>
    </w:p>
    <w:p w14:paraId="378F73A5" w14:textId="77777777" w:rsidR="00B81CBB" w:rsidRDefault="00B81CBB" w:rsidP="00B81CBB">
      <w:pPr>
        <w:spacing w:line="240" w:lineRule="auto"/>
      </w:pPr>
      <w:r>
        <w:t xml:space="preserve">artikel 1a, vierde lid, onderdelen a tot en met e, </w:t>
      </w:r>
      <w:proofErr w:type="spellStart"/>
      <w:r>
        <w:t>Wwft</w:t>
      </w:r>
      <w:proofErr w:type="spellEnd"/>
      <w:r>
        <w:t>, die zijn gevestigd in een lidstaat van</w:t>
      </w:r>
    </w:p>
    <w:p w14:paraId="155441C2" w14:textId="77777777" w:rsidR="00B81CBB" w:rsidRDefault="00B81CBB" w:rsidP="00B81CBB">
      <w:pPr>
        <w:spacing w:line="240" w:lineRule="auto"/>
      </w:pPr>
      <w:r>
        <w:t>de Europese Unie of een derde land en die hun werkzaamheden (al dan niet als</w:t>
      </w:r>
    </w:p>
    <w:p w14:paraId="5C6B6786" w14:textId="77777777" w:rsidR="00B81CBB" w:rsidRDefault="00B81CBB" w:rsidP="00B81CBB">
      <w:pPr>
        <w:spacing w:line="240" w:lineRule="auto"/>
      </w:pPr>
      <w:r>
        <w:t>werknemer) uitoefenen binnen eenzelfde rechtspersoon of netwerk;</w:t>
      </w:r>
    </w:p>
    <w:p w14:paraId="1F6F546D" w14:textId="77777777" w:rsidR="00B81CBB" w:rsidRDefault="00B81CBB" w:rsidP="00B81CBB">
      <w:pPr>
        <w:spacing w:line="240" w:lineRule="auto"/>
      </w:pPr>
      <w:r>
        <w:t>d. […]</w:t>
      </w:r>
    </w:p>
    <w:p w14:paraId="51DFE6BC" w14:textId="77777777" w:rsidR="00B81CBB" w:rsidRDefault="00B81CBB" w:rsidP="00B81CBB">
      <w:pPr>
        <w:rPr>
          <w:b/>
        </w:rPr>
      </w:pPr>
    </w:p>
    <w:p w14:paraId="71358719" w14:textId="77777777" w:rsidR="00073560" w:rsidRPr="001E2A39" w:rsidRDefault="00073560" w:rsidP="00073560">
      <w:pPr>
        <w:rPr>
          <w:b/>
        </w:rPr>
      </w:pPr>
      <w:r>
        <w:rPr>
          <w:b/>
        </w:rPr>
        <w:t>17.d</w:t>
      </w:r>
      <w:r w:rsidRPr="001E2A39">
        <w:rPr>
          <w:b/>
        </w:rPr>
        <w:t xml:space="preserve">. </w:t>
      </w:r>
      <w:r>
        <w:rPr>
          <w:b/>
        </w:rPr>
        <w:t>Sanctieverordeningen en Sanctiewet 1977</w:t>
      </w:r>
    </w:p>
    <w:p w14:paraId="2D8CBA2D" w14:textId="77777777" w:rsidR="00073560" w:rsidRDefault="00073560" w:rsidP="00073560"/>
    <w:p w14:paraId="0ACF2000" w14:textId="77777777" w:rsidR="00073560" w:rsidRPr="008079A1" w:rsidRDefault="00073560" w:rsidP="00073560">
      <w:pPr>
        <w:rPr>
          <w:bCs/>
        </w:rPr>
      </w:pPr>
      <w:r w:rsidRPr="008079A1">
        <w:rPr>
          <w:bCs/>
        </w:rPr>
        <w:t xml:space="preserve">Sanctiemaatregelen zijn politieke instrumenten in het buitenlands </w:t>
      </w:r>
      <w:r>
        <w:rPr>
          <w:bCs/>
        </w:rPr>
        <w:t xml:space="preserve">beleid </w:t>
      </w:r>
      <w:r w:rsidRPr="008079A1">
        <w:rPr>
          <w:bCs/>
        </w:rPr>
        <w:t>en veiligheidsbeleid van de</w:t>
      </w:r>
    </w:p>
    <w:p w14:paraId="470B56B3" w14:textId="77777777" w:rsidR="00073560" w:rsidRPr="008079A1" w:rsidRDefault="00073560" w:rsidP="00073560">
      <w:pPr>
        <w:rPr>
          <w:bCs/>
        </w:rPr>
      </w:pPr>
      <w:r w:rsidRPr="008079A1">
        <w:rPr>
          <w:bCs/>
        </w:rPr>
        <w:t>Verenigde Naties (VN) en de Europese Unie (EU). Het zijn dwingende, niet-militaire</w:t>
      </w:r>
    </w:p>
    <w:p w14:paraId="1909DB6F" w14:textId="77777777" w:rsidR="00073560" w:rsidRPr="008079A1" w:rsidRDefault="00073560" w:rsidP="00073560">
      <w:pPr>
        <w:rPr>
          <w:bCs/>
        </w:rPr>
      </w:pPr>
      <w:r w:rsidRPr="008079A1">
        <w:rPr>
          <w:bCs/>
        </w:rPr>
        <w:t>instrumenten die worden ingezet als reactie op schendingen van internationaal recht of van</w:t>
      </w:r>
    </w:p>
    <w:p w14:paraId="2A33F2F7" w14:textId="77777777" w:rsidR="00073560" w:rsidRPr="008079A1" w:rsidRDefault="00073560" w:rsidP="00073560">
      <w:pPr>
        <w:rPr>
          <w:bCs/>
        </w:rPr>
      </w:pPr>
      <w:r w:rsidRPr="008079A1">
        <w:rPr>
          <w:bCs/>
        </w:rPr>
        <w:t>mensenrechten door regimes die rechtsstatelijke en democratische beginselen niet eerbiedigen.</w:t>
      </w:r>
    </w:p>
    <w:p w14:paraId="25FCA5B4" w14:textId="77777777" w:rsidR="00073560" w:rsidRDefault="00073560" w:rsidP="00073560">
      <w:pPr>
        <w:rPr>
          <w:bCs/>
        </w:rPr>
      </w:pPr>
    </w:p>
    <w:p w14:paraId="686DB82A" w14:textId="77777777" w:rsidR="00073560" w:rsidRPr="008079A1" w:rsidRDefault="00073560" w:rsidP="00073560">
      <w:pPr>
        <w:rPr>
          <w:bCs/>
        </w:rPr>
      </w:pPr>
      <w:r w:rsidRPr="008079A1">
        <w:rPr>
          <w:bCs/>
        </w:rPr>
        <w:t>Daarnaast vervullen sancties een rol in de bestrijding van terrorisme. Tegen terrorisme gerichte</w:t>
      </w:r>
    </w:p>
    <w:p w14:paraId="543F11ED" w14:textId="77777777" w:rsidR="00073560" w:rsidRPr="008079A1" w:rsidRDefault="00073560" w:rsidP="00073560">
      <w:pPr>
        <w:rPr>
          <w:bCs/>
        </w:rPr>
      </w:pPr>
      <w:r w:rsidRPr="008079A1">
        <w:rPr>
          <w:bCs/>
        </w:rPr>
        <w:t>sancties zijn vooral gericht tegen individuen en niet-statelijke entiteiten. Sanctieregelingen</w:t>
      </w:r>
    </w:p>
    <w:p w14:paraId="129F95CE" w14:textId="77777777" w:rsidR="00073560" w:rsidRPr="008079A1" w:rsidRDefault="00073560" w:rsidP="00073560">
      <w:pPr>
        <w:rPr>
          <w:bCs/>
        </w:rPr>
      </w:pPr>
      <w:r w:rsidRPr="008079A1">
        <w:rPr>
          <w:bCs/>
        </w:rPr>
        <w:t>kunnen voortkomen uit verordeningen, gemeenschappelijke standpunten of aanwijzingen van</w:t>
      </w:r>
    </w:p>
    <w:p w14:paraId="0F42B81C" w14:textId="77777777" w:rsidR="00073560" w:rsidRPr="008079A1" w:rsidRDefault="00073560" w:rsidP="00073560">
      <w:pPr>
        <w:rPr>
          <w:bCs/>
        </w:rPr>
      </w:pPr>
      <w:r w:rsidRPr="008079A1">
        <w:rPr>
          <w:bCs/>
        </w:rPr>
        <w:t>volkenrechtelijke organisaties. De Veiligheidsraad van de VN heeft de hoogste macht in het</w:t>
      </w:r>
    </w:p>
    <w:p w14:paraId="0D9DCD76" w14:textId="77777777" w:rsidR="00073560" w:rsidRPr="008079A1" w:rsidRDefault="00073560" w:rsidP="00073560">
      <w:pPr>
        <w:rPr>
          <w:bCs/>
        </w:rPr>
      </w:pPr>
      <w:r w:rsidRPr="008079A1">
        <w:rPr>
          <w:bCs/>
        </w:rPr>
        <w:t>uitvaardigen van sancties. De sancties zijn opgenomen in VN Resoluties. De EU legt in principe</w:t>
      </w:r>
    </w:p>
    <w:p w14:paraId="79DFDFB0" w14:textId="77777777" w:rsidR="00073560" w:rsidRPr="008079A1" w:rsidRDefault="00073560" w:rsidP="00073560">
      <w:pPr>
        <w:rPr>
          <w:bCs/>
        </w:rPr>
      </w:pPr>
      <w:r w:rsidRPr="008079A1">
        <w:rPr>
          <w:bCs/>
        </w:rPr>
        <w:t>de VN Resoluties zo snel mogelijk ten uitvoer door middel van EU</w:t>
      </w:r>
      <w:r>
        <w:rPr>
          <w:bCs/>
        </w:rPr>
        <w:t>-</w:t>
      </w:r>
      <w:r w:rsidRPr="008079A1">
        <w:rPr>
          <w:bCs/>
        </w:rPr>
        <w:t>verordeningen, maar kan ook</w:t>
      </w:r>
    </w:p>
    <w:p w14:paraId="1C954924" w14:textId="77777777" w:rsidR="00073560" w:rsidRPr="008079A1" w:rsidRDefault="00073560" w:rsidP="00073560">
      <w:pPr>
        <w:rPr>
          <w:bCs/>
        </w:rPr>
      </w:pPr>
      <w:r w:rsidRPr="008079A1">
        <w:rPr>
          <w:bCs/>
        </w:rPr>
        <w:t>zelfstandig sancties opleggen (eveneens door middel van EU</w:t>
      </w:r>
      <w:r>
        <w:rPr>
          <w:bCs/>
        </w:rPr>
        <w:t>-</w:t>
      </w:r>
      <w:r w:rsidRPr="008079A1">
        <w:rPr>
          <w:bCs/>
        </w:rPr>
        <w:t>verordeningen). Daarnaast kunnen</w:t>
      </w:r>
    </w:p>
    <w:p w14:paraId="2623BAA1" w14:textId="77777777" w:rsidR="00073560" w:rsidRPr="008079A1" w:rsidRDefault="00073560" w:rsidP="00073560">
      <w:pPr>
        <w:rPr>
          <w:bCs/>
        </w:rPr>
      </w:pPr>
      <w:r w:rsidRPr="008079A1">
        <w:rPr>
          <w:bCs/>
        </w:rPr>
        <w:t>individuele landen ook sancties instellen.</w:t>
      </w:r>
    </w:p>
    <w:p w14:paraId="43BB7014" w14:textId="77777777" w:rsidR="00073560" w:rsidRDefault="00073560" w:rsidP="00073560">
      <w:pPr>
        <w:rPr>
          <w:bCs/>
        </w:rPr>
      </w:pPr>
    </w:p>
    <w:p w14:paraId="5679BA9B" w14:textId="77777777" w:rsidR="004573D9" w:rsidRDefault="004573D9" w:rsidP="004573D9">
      <w:r>
        <w:rPr>
          <w:bCs/>
        </w:rPr>
        <w:t>I</w:t>
      </w:r>
      <w:r w:rsidRPr="008079A1">
        <w:rPr>
          <w:bCs/>
        </w:rPr>
        <w:t>eder</w:t>
      </w:r>
      <w:r>
        <w:rPr>
          <w:bCs/>
        </w:rPr>
        <w:t>een (en dus ook de mensen werkzaam in onze organisatie)</w:t>
      </w:r>
      <w:r w:rsidRPr="008079A1">
        <w:rPr>
          <w:bCs/>
        </w:rPr>
        <w:t xml:space="preserve"> heeft een eigen verantwoordelijkheid voor de naleving van</w:t>
      </w:r>
      <w:r>
        <w:rPr>
          <w:bCs/>
        </w:rPr>
        <w:t xml:space="preserve"> </w:t>
      </w:r>
      <w:r w:rsidRPr="008079A1">
        <w:rPr>
          <w:bCs/>
        </w:rPr>
        <w:t>sanctieregelingen. Alle personen en ondernemingen, kortom alle rechtssubjecten, moeten</w:t>
      </w:r>
      <w:r>
        <w:rPr>
          <w:bCs/>
        </w:rPr>
        <w:t xml:space="preserve"> </w:t>
      </w:r>
      <w:r w:rsidRPr="008079A1">
        <w:rPr>
          <w:bCs/>
        </w:rPr>
        <w:t>zich bewust zijn van het risico dat zij een economisch delict begaan door het niet naleven van</w:t>
      </w:r>
      <w:r>
        <w:rPr>
          <w:bCs/>
        </w:rPr>
        <w:t xml:space="preserve"> </w:t>
      </w:r>
      <w:r w:rsidRPr="008079A1">
        <w:rPr>
          <w:bCs/>
        </w:rPr>
        <w:t>de sanctieregelgeving. Zo is een notaris bijvoorbeeld strafbaar als deze een akte passeert waar een</w:t>
      </w:r>
      <w:r>
        <w:rPr>
          <w:bCs/>
        </w:rPr>
        <w:t xml:space="preserve"> cliënt</w:t>
      </w:r>
      <w:r w:rsidRPr="008079A1">
        <w:rPr>
          <w:bCs/>
        </w:rPr>
        <w:t xml:space="preserve"> bij betrokken is die op een sanctielijst staat.</w:t>
      </w:r>
      <w:r>
        <w:rPr>
          <w:bCs/>
        </w:rPr>
        <w:t xml:space="preserve"> </w:t>
      </w:r>
    </w:p>
    <w:p w14:paraId="16F8A52D" w14:textId="77777777" w:rsidR="004573D9" w:rsidRPr="002A2172" w:rsidRDefault="004573D9" w:rsidP="004573D9">
      <w:pPr>
        <w:rPr>
          <w:bCs/>
        </w:rPr>
      </w:pPr>
      <w:r w:rsidRPr="002A2172">
        <w:rPr>
          <w:bCs/>
        </w:rPr>
        <w:t xml:space="preserve">Voor meer info en achtergronden, raadpleeg  </w:t>
      </w:r>
      <w:hyperlink r:id="rId20" w:history="1">
        <w:r w:rsidRPr="002A2172">
          <w:rPr>
            <w:rStyle w:val="Hyperlink"/>
            <w:bCs/>
          </w:rPr>
          <w:t>https://www.knb.nl/notariaat-magazine/2022-03/vragen-staat-vrij-sanctiemaatregelen</w:t>
        </w:r>
      </w:hyperlink>
      <w:r w:rsidRPr="002A2172">
        <w:rPr>
          <w:bCs/>
        </w:rPr>
        <w:t xml:space="preserve"> en Sanctieregelingen: de stand van zaken: </w:t>
      </w:r>
      <w:hyperlink r:id="rId21" w:history="1">
        <w:r w:rsidRPr="002A2172">
          <w:rPr>
            <w:rStyle w:val="Hyperlink"/>
            <w:bCs/>
          </w:rPr>
          <w:t>https://open.overheid.nl/documenten/9786a1e9-aafb-4060-b96d-c0c30ace878d/file</w:t>
        </w:r>
      </w:hyperlink>
      <w:r w:rsidRPr="002A2172">
        <w:rPr>
          <w:bCs/>
        </w:rPr>
        <w:t>.</w:t>
      </w:r>
    </w:p>
    <w:p w14:paraId="5BE57328" w14:textId="77777777" w:rsidR="004573D9" w:rsidRDefault="004573D9" w:rsidP="004573D9">
      <w:pPr>
        <w:rPr>
          <w:b/>
        </w:rPr>
      </w:pPr>
    </w:p>
    <w:p w14:paraId="0C7FAE22" w14:textId="77777777" w:rsidR="004573D9" w:rsidRPr="002A2172" w:rsidRDefault="004573D9" w:rsidP="004573D9">
      <w:r w:rsidRPr="002A2172">
        <w:t>De AML-Tool screent de sanctielijsten ter uitvoering van de Sanctiewet 1977.</w:t>
      </w:r>
    </w:p>
    <w:p w14:paraId="338A813E" w14:textId="77777777" w:rsidR="00073560" w:rsidRPr="003E0000" w:rsidRDefault="00073560" w:rsidP="00073560">
      <w:pPr>
        <w:rPr>
          <w:b/>
          <w:bCs/>
        </w:rPr>
      </w:pPr>
    </w:p>
    <w:p w14:paraId="638CE6FC" w14:textId="4B089BFA" w:rsidR="00073560" w:rsidRDefault="00073560" w:rsidP="00073560">
      <w:r>
        <w:t>Gezien de aard van de opdrachten die aan ons kantoor worden verstrekt, hebben wij ervoor gekozen om voor elke cliënt de sanctielijsten te raadplegen om te bezien of de cliënt daarop voorkomt</w:t>
      </w:r>
      <w:r w:rsidRPr="00B10A9B">
        <w:t xml:space="preserve"> </w:t>
      </w:r>
      <w:r>
        <w:t>en voor elke transactie te onderzoeken of die geoorloofd is, om zodoende te bepalen of we een zakelijke relatie kunnen aangaan of dat we dienst moeten weigeren en/of een melding moeten doen.</w:t>
      </w:r>
      <w:r w:rsidR="00E87F7B">
        <w:t xml:space="preserve"> Wij voldoen hieraan door middel van de AML-Tool die daarop screent.</w:t>
      </w:r>
    </w:p>
    <w:p w14:paraId="6994DF8F" w14:textId="77777777" w:rsidR="00B81CBB" w:rsidRDefault="00B81CBB" w:rsidP="00BE036A">
      <w:pPr>
        <w:spacing w:line="240" w:lineRule="auto"/>
      </w:pPr>
    </w:p>
    <w:p w14:paraId="0DAF2F27" w14:textId="3BB024B8" w:rsidR="00C677B4" w:rsidRPr="001E2A39" w:rsidRDefault="00C677B4" w:rsidP="00C677B4">
      <w:pPr>
        <w:rPr>
          <w:b/>
        </w:rPr>
      </w:pPr>
      <w:r w:rsidRPr="001E2A39">
        <w:rPr>
          <w:b/>
        </w:rPr>
        <w:t>1</w:t>
      </w:r>
      <w:r>
        <w:rPr>
          <w:b/>
        </w:rPr>
        <w:t>8</w:t>
      </w:r>
      <w:r w:rsidRPr="001E2A39">
        <w:rPr>
          <w:b/>
        </w:rPr>
        <w:t xml:space="preserve">. </w:t>
      </w:r>
      <w:r>
        <w:rPr>
          <w:b/>
        </w:rPr>
        <w:t xml:space="preserve">Voorlichting </w:t>
      </w:r>
      <w:r w:rsidR="00C53D84">
        <w:rPr>
          <w:b/>
        </w:rPr>
        <w:t>c</w:t>
      </w:r>
      <w:r>
        <w:rPr>
          <w:b/>
        </w:rPr>
        <w:t>liënten</w:t>
      </w:r>
    </w:p>
    <w:p w14:paraId="14B09D00" w14:textId="77777777" w:rsidR="00C677B4" w:rsidRDefault="00C677B4" w:rsidP="00C677B4"/>
    <w:p w14:paraId="0617E675" w14:textId="3E5C78A0" w:rsidR="00BE036A" w:rsidRDefault="00C677B4" w:rsidP="00C677B4">
      <w:pPr>
        <w:spacing w:line="240" w:lineRule="auto"/>
      </w:pPr>
      <w:r w:rsidRPr="0045748F">
        <w:rPr>
          <w:highlight w:val="yellow"/>
        </w:rPr>
        <w:t xml:space="preserve">Wij leggen van te voren uit aan onze </w:t>
      </w:r>
      <w:proofErr w:type="spellStart"/>
      <w:r w:rsidRPr="0045748F">
        <w:rPr>
          <w:highlight w:val="yellow"/>
        </w:rPr>
        <w:t>prospects</w:t>
      </w:r>
      <w:proofErr w:type="spellEnd"/>
      <w:r w:rsidRPr="0045748F">
        <w:rPr>
          <w:highlight w:val="yellow"/>
        </w:rPr>
        <w:t xml:space="preserve"> en cliënten aan welke verplichtingen wij moeten voldoen als zij werkzaamheden van ons verlangen die onder de </w:t>
      </w:r>
      <w:proofErr w:type="spellStart"/>
      <w:r w:rsidRPr="0045748F">
        <w:rPr>
          <w:highlight w:val="yellow"/>
        </w:rPr>
        <w:t>W</w:t>
      </w:r>
      <w:r w:rsidR="00C53D84" w:rsidRPr="0045748F">
        <w:rPr>
          <w:highlight w:val="yellow"/>
        </w:rPr>
        <w:t>wft</w:t>
      </w:r>
      <w:proofErr w:type="spellEnd"/>
      <w:r w:rsidRPr="0045748F">
        <w:rPr>
          <w:highlight w:val="yellow"/>
        </w:rPr>
        <w:t xml:space="preserve"> vallen, zoals het verrichten van cliëntenonderzoek en het nagaan van de herkomst van de gelden. Wij hebben dat ook in onze Algemene Voorwaarden opgenomen. Wij sturen – als wij het idee hebben dat dat geboden is </w:t>
      </w:r>
      <w:r w:rsidR="00C53D84" w:rsidRPr="0045748F">
        <w:rPr>
          <w:highlight w:val="yellow"/>
        </w:rPr>
        <w:t>–</w:t>
      </w:r>
      <w:r w:rsidRPr="0045748F">
        <w:rPr>
          <w:highlight w:val="yellow"/>
        </w:rPr>
        <w:t xml:space="preserve"> de publieksinformatiekaart “Cliëntenonderzoek en meldingsplicht in het notariaat” van de KNB, die te vinden is op </w:t>
      </w:r>
      <w:hyperlink r:id="rId22" w:history="1">
        <w:r w:rsidRPr="0045748F">
          <w:rPr>
            <w:rStyle w:val="Hyperlink"/>
            <w:highlight w:val="yellow"/>
          </w:rPr>
          <w:t>https://notarisnet.notaris.nl/wwft</w:t>
        </w:r>
      </w:hyperlink>
      <w:r w:rsidRPr="0045748F">
        <w:rPr>
          <w:highlight w:val="yellow"/>
        </w:rPr>
        <w:t xml:space="preserve"> aan de prospect/cliënt.</w:t>
      </w:r>
      <w:r w:rsidR="00BE036A">
        <w:br w:type="page"/>
      </w:r>
    </w:p>
    <w:p w14:paraId="07876907" w14:textId="2E0FEDD9" w:rsidR="006B6EA5" w:rsidRDefault="006B6EA5" w:rsidP="00BE036A">
      <w:pPr>
        <w:spacing w:line="240" w:lineRule="auto"/>
      </w:pPr>
    </w:p>
    <w:p w14:paraId="3424652A" w14:textId="21462E13" w:rsidR="006B6EA5" w:rsidRDefault="006B6EA5" w:rsidP="00BE036A">
      <w:pPr>
        <w:spacing w:line="240" w:lineRule="auto"/>
      </w:pPr>
    </w:p>
    <w:p w14:paraId="367DF61B" w14:textId="77777777" w:rsidR="006B6EA5" w:rsidRDefault="006B6EA5" w:rsidP="00BE036A">
      <w:pPr>
        <w:spacing w:line="240" w:lineRule="auto"/>
        <w:sectPr w:rsidR="006B6EA5" w:rsidSect="00A255C1">
          <w:headerReference w:type="even" r:id="rId23"/>
          <w:headerReference w:type="default" r:id="rId24"/>
          <w:footerReference w:type="even" r:id="rId25"/>
          <w:footerReference w:type="default" r:id="rId26"/>
          <w:headerReference w:type="first" r:id="rId27"/>
          <w:footerReference w:type="first" r:id="rId28"/>
          <w:pgSz w:w="11906" w:h="16838" w:code="9"/>
          <w:pgMar w:top="2835" w:right="737" w:bottom="1701" w:left="1418" w:header="2070" w:footer="1077" w:gutter="0"/>
          <w:cols w:space="708"/>
          <w:titlePg/>
          <w:docGrid w:linePitch="245"/>
        </w:sectPr>
      </w:pPr>
    </w:p>
    <w:p w14:paraId="74B1CB10" w14:textId="0D932946" w:rsidR="0092035E" w:rsidRPr="00AA1099" w:rsidRDefault="006B6EA5" w:rsidP="00BE036A">
      <w:pPr>
        <w:spacing w:line="240" w:lineRule="auto"/>
        <w:rPr>
          <w:b/>
          <w:u w:val="single"/>
        </w:rPr>
      </w:pPr>
      <w:r w:rsidRPr="00AA1099">
        <w:rPr>
          <w:b/>
          <w:u w:val="single"/>
        </w:rPr>
        <w:t xml:space="preserve">Bijlage </w:t>
      </w:r>
      <w:r w:rsidR="00E87F7B">
        <w:rPr>
          <w:b/>
          <w:u w:val="single"/>
        </w:rPr>
        <w:t>1</w:t>
      </w:r>
      <w:r w:rsidRPr="00AA1099">
        <w:rPr>
          <w:b/>
          <w:u w:val="single"/>
        </w:rPr>
        <w:t xml:space="preserve"> </w:t>
      </w:r>
    </w:p>
    <w:p w14:paraId="1C6254BD" w14:textId="37C7AC13" w:rsidR="006B6EA5" w:rsidRDefault="006B6EA5" w:rsidP="00BE036A">
      <w:pPr>
        <w:spacing w:line="240" w:lineRule="auto"/>
        <w:rPr>
          <w:b/>
        </w:rPr>
      </w:pPr>
      <w:r>
        <w:rPr>
          <w:b/>
        </w:rPr>
        <w:t>Enige voorbeelden i</w:t>
      </w:r>
      <w:r w:rsidR="00045AE3">
        <w:rPr>
          <w:b/>
        </w:rPr>
        <w:t>.</w:t>
      </w:r>
      <w:r>
        <w:rPr>
          <w:b/>
        </w:rPr>
        <w:t>v</w:t>
      </w:r>
      <w:r w:rsidR="00045AE3">
        <w:rPr>
          <w:b/>
        </w:rPr>
        <w:t>.</w:t>
      </w:r>
      <w:r>
        <w:rPr>
          <w:b/>
        </w:rPr>
        <w:t>m</w:t>
      </w:r>
      <w:r w:rsidR="00045AE3">
        <w:rPr>
          <w:b/>
        </w:rPr>
        <w:t>.</w:t>
      </w:r>
      <w:r>
        <w:rPr>
          <w:b/>
        </w:rPr>
        <w:t xml:space="preserve"> herkomst van de middelen</w:t>
      </w:r>
      <w:r w:rsidR="0092035E">
        <w:rPr>
          <w:b/>
        </w:rPr>
        <w:t>: hoe ver vraag je door, waar stopt het?</w:t>
      </w:r>
    </w:p>
    <w:p w14:paraId="22A801FD" w14:textId="68FD90C5" w:rsidR="006B6EA5" w:rsidRDefault="006B6EA5" w:rsidP="00BE036A">
      <w:pPr>
        <w:spacing w:line="240" w:lineRule="auto"/>
        <w:rPr>
          <w:b/>
        </w:rPr>
      </w:pPr>
    </w:p>
    <w:p w14:paraId="09E21411" w14:textId="0D66795A" w:rsidR="00043B39" w:rsidRPr="00AA1099" w:rsidRDefault="00043B39" w:rsidP="00043B39">
      <w:pPr>
        <w:spacing w:line="240" w:lineRule="auto"/>
        <w:rPr>
          <w:b/>
        </w:rPr>
      </w:pPr>
      <w:r w:rsidRPr="00AA1099">
        <w:rPr>
          <w:b/>
        </w:rPr>
        <w:t xml:space="preserve">Voorbeeld </w:t>
      </w:r>
    </w:p>
    <w:p w14:paraId="22E93AEF" w14:textId="2BA9FB50" w:rsidR="00043B39" w:rsidRDefault="00043B39" w:rsidP="00043B39">
      <w:pPr>
        <w:spacing w:line="240" w:lineRule="auto"/>
        <w:rPr>
          <w:bCs/>
        </w:rPr>
      </w:pPr>
      <w:r>
        <w:rPr>
          <w:bCs/>
        </w:rPr>
        <w:t>K</w:t>
      </w:r>
      <w:r w:rsidRPr="00043B39">
        <w:rPr>
          <w:bCs/>
        </w:rPr>
        <w:t>oopsom woning 4 t</w:t>
      </w:r>
      <w:r>
        <w:rPr>
          <w:bCs/>
        </w:rPr>
        <w:t>on</w:t>
      </w:r>
      <w:r w:rsidRPr="00043B39">
        <w:rPr>
          <w:bCs/>
        </w:rPr>
        <w:t>, lening bij een grote Nederlandse bank 2 t</w:t>
      </w:r>
      <w:r>
        <w:rPr>
          <w:bCs/>
        </w:rPr>
        <w:t>on,</w:t>
      </w:r>
      <w:r w:rsidR="009213EB">
        <w:rPr>
          <w:bCs/>
        </w:rPr>
        <w:t xml:space="preserve"> </w:t>
      </w:r>
      <w:r w:rsidRPr="00043B39">
        <w:rPr>
          <w:bCs/>
        </w:rPr>
        <w:t>resteert 2 t</w:t>
      </w:r>
      <w:r>
        <w:rPr>
          <w:bCs/>
        </w:rPr>
        <w:t>on</w:t>
      </w:r>
      <w:r w:rsidRPr="00043B39">
        <w:rPr>
          <w:bCs/>
        </w:rPr>
        <w:t xml:space="preserve"> uit eigen middelen. </w:t>
      </w:r>
    </w:p>
    <w:p w14:paraId="7EFC1173" w14:textId="77777777" w:rsidR="00043B39" w:rsidRDefault="00043B39" w:rsidP="00043B39">
      <w:pPr>
        <w:spacing w:line="240" w:lineRule="auto"/>
        <w:rPr>
          <w:bCs/>
        </w:rPr>
      </w:pPr>
    </w:p>
    <w:p w14:paraId="765CBB89" w14:textId="5BECAFB7" w:rsidR="00043B39" w:rsidRDefault="00043B39" w:rsidP="00043B39">
      <w:pPr>
        <w:spacing w:line="240" w:lineRule="auto"/>
        <w:rPr>
          <w:bCs/>
        </w:rPr>
      </w:pPr>
      <w:r w:rsidRPr="00043B39">
        <w:rPr>
          <w:bCs/>
        </w:rPr>
        <w:t xml:space="preserve">Bij </w:t>
      </w:r>
      <w:r>
        <w:rPr>
          <w:bCs/>
        </w:rPr>
        <w:t>het</w:t>
      </w:r>
      <w:r w:rsidRPr="00043B39">
        <w:rPr>
          <w:bCs/>
        </w:rPr>
        <w:t xml:space="preserve"> onderzoek naar de herkomst van deze eigen middelen is van belang de achtergrond, leeftijd en br</w:t>
      </w:r>
      <w:r>
        <w:rPr>
          <w:bCs/>
        </w:rPr>
        <w:t>anche</w:t>
      </w:r>
      <w:r w:rsidRPr="00043B39">
        <w:rPr>
          <w:bCs/>
        </w:rPr>
        <w:t xml:space="preserve"> </w:t>
      </w:r>
      <w:r w:rsidR="00383F8B">
        <w:rPr>
          <w:bCs/>
        </w:rPr>
        <w:t xml:space="preserve">(kijk in de lijst in het draaiboek van de “verdachte” branches) </w:t>
      </w:r>
      <w:r w:rsidRPr="00043B39">
        <w:rPr>
          <w:bCs/>
        </w:rPr>
        <w:t>van de koper</w:t>
      </w:r>
      <w:r>
        <w:rPr>
          <w:bCs/>
        </w:rPr>
        <w:t xml:space="preserve">. </w:t>
      </w:r>
      <w:proofErr w:type="spellStart"/>
      <w:r>
        <w:rPr>
          <w:bCs/>
        </w:rPr>
        <w:t>Risicogebaseerd</w:t>
      </w:r>
      <w:proofErr w:type="spellEnd"/>
      <w:r>
        <w:rPr>
          <w:bCs/>
        </w:rPr>
        <w:t xml:space="preserve"> onderzoek</w:t>
      </w:r>
      <w:r w:rsidR="00A94ABE">
        <w:rPr>
          <w:bCs/>
        </w:rPr>
        <w:t xml:space="preserve"> doen</w:t>
      </w:r>
      <w:r>
        <w:rPr>
          <w:bCs/>
        </w:rPr>
        <w:t>.</w:t>
      </w:r>
      <w:r w:rsidRPr="00043B39">
        <w:rPr>
          <w:bCs/>
        </w:rPr>
        <w:t xml:space="preserve"> </w:t>
      </w:r>
    </w:p>
    <w:p w14:paraId="6D3AE689" w14:textId="77777777" w:rsidR="00043B39" w:rsidRDefault="00043B39" w:rsidP="00043B39">
      <w:pPr>
        <w:spacing w:line="240" w:lineRule="auto"/>
        <w:rPr>
          <w:bCs/>
        </w:rPr>
      </w:pPr>
    </w:p>
    <w:p w14:paraId="4E4B01CD" w14:textId="18D84AC1" w:rsidR="00043B39" w:rsidRPr="00AA1099" w:rsidRDefault="00043B39" w:rsidP="00043B39">
      <w:pPr>
        <w:spacing w:line="240" w:lineRule="auto"/>
        <w:rPr>
          <w:b/>
        </w:rPr>
      </w:pPr>
      <w:r w:rsidRPr="00AA1099">
        <w:rPr>
          <w:b/>
        </w:rPr>
        <w:t>Casus 1</w:t>
      </w:r>
      <w:r w:rsidR="00383F8B" w:rsidRPr="00AA1099">
        <w:rPr>
          <w:b/>
        </w:rPr>
        <w:t>: Baan</w:t>
      </w:r>
      <w:r w:rsidR="00A94ABE" w:rsidRPr="00AA1099">
        <w:rPr>
          <w:b/>
        </w:rPr>
        <w:t>/betrekking</w:t>
      </w:r>
      <w:r w:rsidR="00383F8B" w:rsidRPr="00AA1099">
        <w:rPr>
          <w:b/>
        </w:rPr>
        <w:t xml:space="preserve"> niet aannemelijk voor dergelijk spaargeld</w:t>
      </w:r>
    </w:p>
    <w:p w14:paraId="4B328937" w14:textId="28E402C5" w:rsidR="00043B39" w:rsidRDefault="00043B39" w:rsidP="00043B39">
      <w:pPr>
        <w:spacing w:line="240" w:lineRule="auto"/>
        <w:rPr>
          <w:bCs/>
        </w:rPr>
      </w:pPr>
      <w:r w:rsidRPr="00043B39">
        <w:rPr>
          <w:bCs/>
        </w:rPr>
        <w:t>Als de koper 25 jaar is en medewerker is van de douane of van een bedrijf werkzaam in de havens van bijvoorbeeld Rotterdam, zul je moeten doorvragen bij de verklaring dat dit spaargeld betreft.</w:t>
      </w:r>
    </w:p>
    <w:p w14:paraId="5593D93D" w14:textId="209B2E23" w:rsidR="00043B39" w:rsidRDefault="00043B39" w:rsidP="00043B39">
      <w:pPr>
        <w:spacing w:line="240" w:lineRule="auto"/>
        <w:rPr>
          <w:bCs/>
        </w:rPr>
      </w:pPr>
      <w:r w:rsidRPr="00043B39">
        <w:rPr>
          <w:bCs/>
        </w:rPr>
        <w:t>Het is niet zonder meer aannemelijk dat met een baan bij de overheid</w:t>
      </w:r>
      <w:r>
        <w:rPr>
          <w:bCs/>
        </w:rPr>
        <w:t>/of bedrijfsleven</w:t>
      </w:r>
      <w:r w:rsidRPr="00043B39">
        <w:rPr>
          <w:bCs/>
        </w:rPr>
        <w:t xml:space="preserve"> je op deze leeftijd zoveel overhoudt dat je het bedrag bijeen kun</w:t>
      </w:r>
      <w:r>
        <w:rPr>
          <w:bCs/>
        </w:rPr>
        <w:t>t</w:t>
      </w:r>
      <w:r w:rsidRPr="00043B39">
        <w:rPr>
          <w:bCs/>
        </w:rPr>
        <w:t xml:space="preserve"> sparen.</w:t>
      </w:r>
      <w:r>
        <w:rPr>
          <w:bCs/>
        </w:rPr>
        <w:t xml:space="preserve"> </w:t>
      </w:r>
      <w:r w:rsidRPr="00043B39">
        <w:rPr>
          <w:bCs/>
        </w:rPr>
        <w:t>Als er geen afdoende verklaring komt, is het ongebruikelijk en zul je deze transactie moeten melden.</w:t>
      </w:r>
    </w:p>
    <w:p w14:paraId="5F9FAB47" w14:textId="77777777" w:rsidR="00073560" w:rsidRPr="00043B39" w:rsidRDefault="00073560" w:rsidP="00043B39">
      <w:pPr>
        <w:spacing w:line="240" w:lineRule="auto"/>
        <w:rPr>
          <w:bCs/>
        </w:rPr>
      </w:pPr>
    </w:p>
    <w:p w14:paraId="2D3BE57A" w14:textId="0B7ABBF5" w:rsidR="00043B39" w:rsidRPr="00AA1099" w:rsidRDefault="00073560" w:rsidP="00043B39">
      <w:pPr>
        <w:spacing w:line="240" w:lineRule="auto"/>
        <w:rPr>
          <w:b/>
        </w:rPr>
      </w:pPr>
      <w:r>
        <w:rPr>
          <w:b/>
        </w:rPr>
        <w:t>C</w:t>
      </w:r>
      <w:r w:rsidR="00043B39" w:rsidRPr="00AA1099">
        <w:rPr>
          <w:b/>
        </w:rPr>
        <w:t>asus 2</w:t>
      </w:r>
      <w:r w:rsidR="00383F8B" w:rsidRPr="00AA1099">
        <w:rPr>
          <w:b/>
        </w:rPr>
        <w:t>: Omzet opkloppen om wit te wassen</w:t>
      </w:r>
    </w:p>
    <w:p w14:paraId="6DDF412D" w14:textId="3DE80BCB" w:rsidR="00043B39" w:rsidRDefault="00043B39" w:rsidP="00043B39">
      <w:pPr>
        <w:spacing w:line="240" w:lineRule="auto"/>
        <w:rPr>
          <w:bCs/>
        </w:rPr>
      </w:pPr>
      <w:r w:rsidRPr="00043B39">
        <w:rPr>
          <w:bCs/>
        </w:rPr>
        <w:t>Als de koper 2</w:t>
      </w:r>
      <w:r>
        <w:rPr>
          <w:bCs/>
        </w:rPr>
        <w:t>6</w:t>
      </w:r>
      <w:r w:rsidRPr="00043B39">
        <w:rPr>
          <w:bCs/>
        </w:rPr>
        <w:t xml:space="preserve"> jaar is </w:t>
      </w:r>
      <w:r>
        <w:rPr>
          <w:bCs/>
        </w:rPr>
        <w:t>een eenmanszaak drijft op het gebied van het poetsen van auto’s</w:t>
      </w:r>
      <w:r w:rsidRPr="00043B39">
        <w:rPr>
          <w:bCs/>
        </w:rPr>
        <w:t>, zul je moeten doorvragen bij de verklaring dat dit spaargeld betreft</w:t>
      </w:r>
      <w:r>
        <w:rPr>
          <w:bCs/>
        </w:rPr>
        <w:t xml:space="preserve"> dat over is uit de zaak</w:t>
      </w:r>
      <w:r w:rsidRPr="00043B39">
        <w:rPr>
          <w:bCs/>
        </w:rPr>
        <w:t>.</w:t>
      </w:r>
    </w:p>
    <w:p w14:paraId="28D43C9B" w14:textId="773D73E1" w:rsidR="00043B39" w:rsidRPr="00043B39" w:rsidRDefault="00043B39" w:rsidP="00043B39">
      <w:pPr>
        <w:spacing w:line="240" w:lineRule="auto"/>
        <w:rPr>
          <w:bCs/>
        </w:rPr>
      </w:pPr>
      <w:r w:rsidRPr="00043B39">
        <w:rPr>
          <w:bCs/>
        </w:rPr>
        <w:t xml:space="preserve">Het is niet zonder meer aannemelijk dat met een </w:t>
      </w:r>
      <w:r>
        <w:rPr>
          <w:bCs/>
        </w:rPr>
        <w:t>dergelijk bedrijf</w:t>
      </w:r>
      <w:r w:rsidRPr="00043B39">
        <w:rPr>
          <w:bCs/>
        </w:rPr>
        <w:t xml:space="preserve"> je op deze leeftijd zoveel overhoudt dat je het bedrag bijeen kun</w:t>
      </w:r>
      <w:r>
        <w:rPr>
          <w:bCs/>
        </w:rPr>
        <w:t>t</w:t>
      </w:r>
      <w:r w:rsidRPr="00043B39">
        <w:rPr>
          <w:bCs/>
        </w:rPr>
        <w:t xml:space="preserve"> sparen.</w:t>
      </w:r>
      <w:r>
        <w:rPr>
          <w:bCs/>
        </w:rPr>
        <w:t xml:space="preserve"> Vraag jaarrekening op en belastingaangifte. Check of er een reëel accountantskantoor/boekhoudfirma betrokken is, bijvoorbeeld via google. </w:t>
      </w:r>
      <w:r w:rsidR="00383F8B">
        <w:rPr>
          <w:bCs/>
        </w:rPr>
        <w:t xml:space="preserve">Het profiel wijst in de richting van kunstmatig grote omzet om wit te wassen. </w:t>
      </w:r>
      <w:r w:rsidRPr="00043B39">
        <w:rPr>
          <w:bCs/>
        </w:rPr>
        <w:t>Als er geen afdoende verklaring komt, is het ongebruikelijk en zul je deze transactie moeten melden.</w:t>
      </w:r>
    </w:p>
    <w:p w14:paraId="7125D774" w14:textId="77777777" w:rsidR="00043B39" w:rsidRPr="00043B39" w:rsidRDefault="00043B39" w:rsidP="00043B39">
      <w:pPr>
        <w:spacing w:line="240" w:lineRule="auto"/>
        <w:rPr>
          <w:bCs/>
        </w:rPr>
      </w:pPr>
    </w:p>
    <w:p w14:paraId="02144E1C" w14:textId="35E5EF2C" w:rsidR="00383F8B" w:rsidRPr="00AA1099" w:rsidRDefault="00383F8B" w:rsidP="00383F8B">
      <w:pPr>
        <w:spacing w:line="240" w:lineRule="auto"/>
        <w:rPr>
          <w:b/>
        </w:rPr>
      </w:pPr>
      <w:r w:rsidRPr="00AA1099">
        <w:rPr>
          <w:b/>
        </w:rPr>
        <w:t xml:space="preserve">Casus 3: </w:t>
      </w:r>
      <w:r w:rsidR="00A94ABE" w:rsidRPr="00AA1099">
        <w:rPr>
          <w:b/>
        </w:rPr>
        <w:t>PGB-</w:t>
      </w:r>
      <w:r w:rsidRPr="00AA1099">
        <w:rPr>
          <w:b/>
        </w:rPr>
        <w:t>fraude</w:t>
      </w:r>
    </w:p>
    <w:p w14:paraId="600544F0" w14:textId="2BBF282F" w:rsidR="00383F8B" w:rsidRDefault="00383F8B" w:rsidP="00383F8B">
      <w:pPr>
        <w:spacing w:line="240" w:lineRule="auto"/>
        <w:rPr>
          <w:bCs/>
        </w:rPr>
      </w:pPr>
      <w:r w:rsidRPr="00043B39">
        <w:rPr>
          <w:bCs/>
        </w:rPr>
        <w:t>Als de koper 2</w:t>
      </w:r>
      <w:r>
        <w:rPr>
          <w:bCs/>
        </w:rPr>
        <w:t>6</w:t>
      </w:r>
      <w:r w:rsidRPr="00043B39">
        <w:rPr>
          <w:bCs/>
        </w:rPr>
        <w:t xml:space="preserve"> jaar is </w:t>
      </w:r>
      <w:r>
        <w:rPr>
          <w:bCs/>
        </w:rPr>
        <w:t>een eenmanszaak drijft op het gebied van de thuiszorg</w:t>
      </w:r>
      <w:r w:rsidRPr="00043B39">
        <w:rPr>
          <w:bCs/>
        </w:rPr>
        <w:t>, zul je moeten doorvragen bij de verklaring dat dit spaargeld betreft</w:t>
      </w:r>
      <w:r>
        <w:rPr>
          <w:bCs/>
        </w:rPr>
        <w:t xml:space="preserve"> dat over is uit de zaak</w:t>
      </w:r>
      <w:r w:rsidRPr="00043B39">
        <w:rPr>
          <w:bCs/>
        </w:rPr>
        <w:t>.</w:t>
      </w:r>
    </w:p>
    <w:p w14:paraId="453290F1" w14:textId="4F805436" w:rsidR="00383F8B" w:rsidRPr="00043B39" w:rsidRDefault="00383F8B" w:rsidP="00383F8B">
      <w:pPr>
        <w:spacing w:line="240" w:lineRule="auto"/>
        <w:rPr>
          <w:bCs/>
        </w:rPr>
      </w:pPr>
      <w:r w:rsidRPr="00043B39">
        <w:rPr>
          <w:bCs/>
        </w:rPr>
        <w:t xml:space="preserve">Het is niet zonder meer aannemelijk dat met een </w:t>
      </w:r>
      <w:r>
        <w:rPr>
          <w:bCs/>
        </w:rPr>
        <w:t>dergelijk bedrijf</w:t>
      </w:r>
      <w:r w:rsidRPr="00043B39">
        <w:rPr>
          <w:bCs/>
        </w:rPr>
        <w:t xml:space="preserve"> je op deze leeftijd zoveel overhoudt dat je het bedrag bijeen kun</w:t>
      </w:r>
      <w:r>
        <w:rPr>
          <w:bCs/>
        </w:rPr>
        <w:t>t</w:t>
      </w:r>
      <w:r w:rsidRPr="00043B39">
        <w:rPr>
          <w:bCs/>
        </w:rPr>
        <w:t xml:space="preserve"> sparen.</w:t>
      </w:r>
      <w:r>
        <w:rPr>
          <w:bCs/>
        </w:rPr>
        <w:t xml:space="preserve"> Vraag jaarrekening op en belastingaangifte. Check of er een reëel accountantskantoor/boekhoudfirma betrokken is, bijvoorbeeld via google. Het profiel wijst in de richting van </w:t>
      </w:r>
      <w:r w:rsidR="00A94ABE">
        <w:rPr>
          <w:bCs/>
        </w:rPr>
        <w:t>PGB-</w:t>
      </w:r>
      <w:r>
        <w:rPr>
          <w:bCs/>
        </w:rPr>
        <w:t xml:space="preserve">fraude. </w:t>
      </w:r>
      <w:r w:rsidRPr="00043B39">
        <w:rPr>
          <w:bCs/>
        </w:rPr>
        <w:t>Als er geen afdoende verklaring komt, is het ongebruikelijk en zul je deze transactie moeten melden.</w:t>
      </w:r>
    </w:p>
    <w:p w14:paraId="3FEF51A8" w14:textId="77777777" w:rsidR="00383F8B" w:rsidRPr="00043B39" w:rsidRDefault="00383F8B" w:rsidP="00383F8B">
      <w:pPr>
        <w:spacing w:line="240" w:lineRule="auto"/>
        <w:rPr>
          <w:bCs/>
        </w:rPr>
      </w:pPr>
    </w:p>
    <w:p w14:paraId="4BB14E98" w14:textId="77777777" w:rsidR="00073560" w:rsidRPr="00AA1099" w:rsidRDefault="00073560" w:rsidP="00073560">
      <w:pPr>
        <w:spacing w:line="240" w:lineRule="auto"/>
        <w:rPr>
          <w:b/>
        </w:rPr>
      </w:pPr>
      <w:r w:rsidRPr="00AA1099">
        <w:rPr>
          <w:b/>
        </w:rPr>
        <w:t xml:space="preserve">Casus 4: Aannemelijke herkomst </w:t>
      </w:r>
    </w:p>
    <w:p w14:paraId="6C20F003" w14:textId="77777777" w:rsidR="00073560" w:rsidRDefault="00073560" w:rsidP="00073560">
      <w:pPr>
        <w:spacing w:line="240" w:lineRule="auto"/>
        <w:rPr>
          <w:bCs/>
        </w:rPr>
      </w:pPr>
      <w:r>
        <w:rPr>
          <w:bCs/>
        </w:rPr>
        <w:t xml:space="preserve">Als koper </w:t>
      </w:r>
      <w:r w:rsidRPr="00043B39">
        <w:rPr>
          <w:bCs/>
        </w:rPr>
        <w:t xml:space="preserve">een advocaat </w:t>
      </w:r>
      <w:r>
        <w:rPr>
          <w:bCs/>
        </w:rPr>
        <w:t xml:space="preserve">is </w:t>
      </w:r>
      <w:r w:rsidRPr="00043B39">
        <w:rPr>
          <w:bCs/>
        </w:rPr>
        <w:t xml:space="preserve">die 54 jaar oud is en opgeeft dat dit bedrag bijeen gespaard is uit de overgespaarde middelen </w:t>
      </w:r>
      <w:r>
        <w:rPr>
          <w:bCs/>
        </w:rPr>
        <w:t>uit zij</w:t>
      </w:r>
      <w:r w:rsidRPr="00043B39">
        <w:rPr>
          <w:bCs/>
        </w:rPr>
        <w:t>n advocatenpraktijk. Het is verstandig om te googelen en op LinkedIn na te gaan of betrokkene inderdaad advocaat is</w:t>
      </w:r>
      <w:r>
        <w:rPr>
          <w:bCs/>
        </w:rPr>
        <w:t>, vraag de IB-aangifte op en als daar inderdaad een spaarbedrag (minimaal ter grootte van de benodigde eigen middelen) in naar voren komt</w:t>
      </w:r>
      <w:r w:rsidRPr="00043B39">
        <w:rPr>
          <w:bCs/>
        </w:rPr>
        <w:t xml:space="preserve"> en </w:t>
      </w:r>
      <w:r>
        <w:rPr>
          <w:bCs/>
        </w:rPr>
        <w:t xml:space="preserve">zou </w:t>
      </w:r>
      <w:r w:rsidRPr="00043B39">
        <w:rPr>
          <w:bCs/>
        </w:rPr>
        <w:t>daarmee de kous af zijn.</w:t>
      </w:r>
    </w:p>
    <w:p w14:paraId="46A49847" w14:textId="77777777" w:rsidR="00073560" w:rsidRDefault="00073560" w:rsidP="00073560">
      <w:pPr>
        <w:spacing w:line="240" w:lineRule="auto"/>
        <w:rPr>
          <w:bCs/>
        </w:rPr>
      </w:pPr>
    </w:p>
    <w:p w14:paraId="085DC1DF" w14:textId="61A31561" w:rsidR="002623C0" w:rsidRPr="006B6EA5" w:rsidRDefault="00073560" w:rsidP="00073560">
      <w:pPr>
        <w:spacing w:line="240" w:lineRule="auto"/>
        <w:rPr>
          <w:bCs/>
        </w:rPr>
      </w:pPr>
      <w:r>
        <w:rPr>
          <w:bCs/>
        </w:rPr>
        <w:t xml:space="preserve">Leg je onderzoeken, overwegingen en bevindingen vast in </w:t>
      </w:r>
      <w:r w:rsidR="00A97CB5">
        <w:rPr>
          <w:bCs/>
        </w:rPr>
        <w:t>de AML-Tool</w:t>
      </w:r>
    </w:p>
    <w:sectPr w:rsidR="002623C0" w:rsidRPr="006B6EA5" w:rsidSect="00A255C1">
      <w:pgSz w:w="11906" w:h="16838" w:code="9"/>
      <w:pgMar w:top="2835" w:right="737" w:bottom="1701" w:left="1418" w:header="2070" w:footer="107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CFB0" w14:textId="77777777" w:rsidR="00170DFD" w:rsidRDefault="00170DFD" w:rsidP="00DB13B6">
      <w:pPr>
        <w:pStyle w:val="Plattetekst"/>
        <w:spacing w:before="0" w:line="240" w:lineRule="auto"/>
      </w:pPr>
      <w:r>
        <w:separator/>
      </w:r>
    </w:p>
  </w:endnote>
  <w:endnote w:type="continuationSeparator" w:id="0">
    <w:p w14:paraId="48FFA5CD" w14:textId="77777777" w:rsidR="00170DFD" w:rsidRDefault="00170DFD" w:rsidP="00DB13B6">
      <w:pPr>
        <w:pStyle w:val="Plattetekst"/>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E8FD" w14:textId="77777777" w:rsidR="00C0365B" w:rsidRDefault="00C036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738231"/>
      <w:docPartObj>
        <w:docPartGallery w:val="Page Numbers (Bottom of Page)"/>
        <w:docPartUnique/>
      </w:docPartObj>
    </w:sdtPr>
    <w:sdtContent>
      <w:p w14:paraId="29F319FD" w14:textId="77777777" w:rsidR="00C0365B" w:rsidRDefault="00C0365B">
        <w:pPr>
          <w:pStyle w:val="Voettekst"/>
          <w:jc w:val="center"/>
        </w:pPr>
        <w:r>
          <w:fldChar w:fldCharType="begin"/>
        </w:r>
        <w:r>
          <w:instrText>PAGE   \* MERGEFORMAT</w:instrText>
        </w:r>
        <w:r>
          <w:fldChar w:fldCharType="separate"/>
        </w:r>
        <w:r>
          <w:rPr>
            <w:noProof/>
          </w:rPr>
          <w:t>10</w:t>
        </w:r>
        <w:r>
          <w:fldChar w:fldCharType="end"/>
        </w:r>
      </w:p>
    </w:sdtContent>
  </w:sdt>
  <w:p w14:paraId="6E38C6B0" w14:textId="77777777" w:rsidR="00C0365B" w:rsidRPr="00EB23D0" w:rsidRDefault="00C0365B" w:rsidP="00955F44">
    <w:pPr>
      <w:pStyle w:val="Voettekst"/>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97"/>
      <w:gridCol w:w="3297"/>
      <w:gridCol w:w="3297"/>
    </w:tblGrid>
    <w:tr w:rsidR="00C0365B" w14:paraId="1C68177D" w14:textId="77777777" w:rsidTr="00553330">
      <w:tc>
        <w:tcPr>
          <w:tcW w:w="3297" w:type="dxa"/>
        </w:tcPr>
        <w:p w14:paraId="24CE2D6A" w14:textId="77777777" w:rsidR="00C0365B" w:rsidRDefault="00C0365B" w:rsidP="00553330">
          <w:pPr>
            <w:pStyle w:val="Voettekst"/>
          </w:pPr>
        </w:p>
      </w:tc>
      <w:tc>
        <w:tcPr>
          <w:tcW w:w="3297" w:type="dxa"/>
        </w:tcPr>
        <w:p w14:paraId="14B0F295" w14:textId="77777777" w:rsidR="00C0365B" w:rsidRDefault="00C0365B" w:rsidP="00553330">
          <w:pPr>
            <w:pStyle w:val="Voettekst"/>
          </w:pPr>
        </w:p>
      </w:tc>
      <w:tc>
        <w:tcPr>
          <w:tcW w:w="3297" w:type="dxa"/>
        </w:tcPr>
        <w:p w14:paraId="63570502" w14:textId="56DC6CD5" w:rsidR="00C0365B" w:rsidRDefault="00C0365B" w:rsidP="000222D5">
          <w:pPr>
            <w:pStyle w:val="Voettekst"/>
            <w:jc w:val="right"/>
          </w:pPr>
          <w:r>
            <w:fldChar w:fldCharType="begin"/>
          </w:r>
          <w:r>
            <w:instrText xml:space="preserve"> IF </w:instrText>
          </w:r>
          <w:fldSimple w:instr=" DocVariable &quot;Paginanummering&quot; ">
            <w:r>
              <w:instrText>0</w:instrText>
            </w:r>
          </w:fldSimple>
          <w:r>
            <w:instrText xml:space="preserve"> = "1" "</w:instrText>
          </w:r>
          <w:bookmarkStart w:id="0" w:name="lblPage1"/>
          <w:r>
            <w:instrText>Pagina</w:instrText>
          </w:r>
          <w:bookmarkEnd w:id="0"/>
          <w:r>
            <w:instrText xml:space="preserve"> </w:instrText>
          </w:r>
          <w:r>
            <w:fldChar w:fldCharType="begin"/>
          </w:r>
          <w:r>
            <w:instrText xml:space="preserve"> PAGE </w:instrText>
          </w:r>
          <w:r>
            <w:fldChar w:fldCharType="separate"/>
          </w:r>
          <w:r>
            <w:rPr>
              <w:noProof/>
            </w:rPr>
            <w:instrText>1</w:instrText>
          </w:r>
          <w:r>
            <w:fldChar w:fldCharType="end"/>
          </w:r>
          <w:r>
            <w:instrText xml:space="preserve"> </w:instrText>
          </w:r>
          <w:bookmarkStart w:id="1" w:name="lblPageFrom1"/>
          <w:r>
            <w:instrText>van</w:instrText>
          </w:r>
          <w:bookmarkEnd w:id="1"/>
          <w:r>
            <w:instrText xml:space="preserve"> </w:instrText>
          </w:r>
          <w:fldSimple w:instr=" NUMPAGES ">
            <w:r>
              <w:rPr>
                <w:noProof/>
              </w:rPr>
              <w:instrText>2</w:instrText>
            </w:r>
          </w:fldSimple>
          <w:r>
            <w:instrText xml:space="preserve">" "" </w:instrText>
          </w:r>
          <w:r>
            <w:fldChar w:fldCharType="separate"/>
          </w:r>
          <w:r>
            <w:fldChar w:fldCharType="end"/>
          </w:r>
        </w:p>
      </w:tc>
    </w:tr>
  </w:tbl>
  <w:p w14:paraId="6059D041" w14:textId="77777777" w:rsidR="00C0365B" w:rsidRPr="00D71F6B" w:rsidRDefault="00C0365B">
    <w:pPr>
      <w:pStyle w:val="Voetteks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7B7E" w14:textId="77777777" w:rsidR="00170DFD" w:rsidRDefault="00170DFD" w:rsidP="00DB13B6">
      <w:pPr>
        <w:pStyle w:val="Plattetekst"/>
        <w:spacing w:before="0" w:line="240" w:lineRule="auto"/>
      </w:pPr>
      <w:r>
        <w:separator/>
      </w:r>
    </w:p>
  </w:footnote>
  <w:footnote w:type="continuationSeparator" w:id="0">
    <w:p w14:paraId="01FEF07F" w14:textId="77777777" w:rsidR="00170DFD" w:rsidRDefault="00170DFD" w:rsidP="00DB13B6">
      <w:pPr>
        <w:pStyle w:val="Plattetekst"/>
        <w:spacing w:before="0" w:line="240" w:lineRule="auto"/>
      </w:pPr>
      <w:r>
        <w:continuationSeparator/>
      </w:r>
    </w:p>
  </w:footnote>
  <w:footnote w:id="1">
    <w:p w14:paraId="087BB8F8" w14:textId="77777777" w:rsidR="00C43629" w:rsidRPr="005949FF" w:rsidRDefault="00C43629" w:rsidP="00C43629">
      <w:pPr>
        <w:pStyle w:val="Voetnoottekst"/>
      </w:pPr>
      <w:r>
        <w:rPr>
          <w:rStyle w:val="Voetnootmarkering"/>
        </w:rPr>
        <w:footnoteRef/>
      </w:r>
      <w:r>
        <w:t xml:space="preserve"> Uit FAQ van het Bft: </w:t>
      </w:r>
      <w:r w:rsidRPr="005949FF">
        <w:t>Voor zover passend bij de aard en de omvang van de instelling is door de toezichthouders op de Wwft als volgt ingevuld: de compliancefunctie en de auditfunctie zijn in ieder geval verplicht te stellen bij instellingen met een totaal personeelsbestand vanaf vijftig werknemers of meer op jaarbasis.</w:t>
      </w:r>
    </w:p>
    <w:p w14:paraId="0D73BD11" w14:textId="77777777" w:rsidR="00C43629" w:rsidRPr="005949FF" w:rsidRDefault="00C43629" w:rsidP="00C43629">
      <w:pPr>
        <w:pStyle w:val="Voetnoottekst"/>
      </w:pPr>
      <w:r w:rsidRPr="005949FF">
        <w:t>In bijzondere omstandigheden kan bij instellingen met minder dan vijftig werknemers op jaarbasis een compliancefunctie of auditfunctie verplicht zijn gezien de ‘aard’ van de onderneming. Indien uit het risicobeleid van een instelling blijkt dat deze voor meer dan 75 procent cliënten of transacties heeft met een hoog risicoprofiel waarvoor artikel 8 Wwft geldt, is de instelling verplicht een compliancefunctie en een auditfunctie in te richten.</w:t>
      </w:r>
    </w:p>
    <w:p w14:paraId="2C28E6C8" w14:textId="77777777" w:rsidR="00C43629" w:rsidRDefault="00C43629" w:rsidP="00C43629">
      <w:pPr>
        <w:pStyle w:val="Voetnoottekst"/>
      </w:pPr>
    </w:p>
  </w:footnote>
  <w:footnote w:id="2">
    <w:p w14:paraId="382A4393" w14:textId="77777777" w:rsidR="00C43629" w:rsidRDefault="00C43629" w:rsidP="00C43629">
      <w:pPr>
        <w:pStyle w:val="Voetnoottekst"/>
      </w:pPr>
      <w:r>
        <w:rPr>
          <w:rStyle w:val="Voetnootmarkering"/>
        </w:rPr>
        <w:footnoteRef/>
      </w:r>
      <w:r>
        <w:t xml:space="preserve"> Zie noot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71F" w14:textId="77777777" w:rsidR="00C0365B" w:rsidRDefault="00C036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31"/>
      <w:gridCol w:w="2506"/>
    </w:tblGrid>
    <w:tr w:rsidR="00C0365B" w14:paraId="7D8E7B05" w14:textId="77777777" w:rsidTr="00A21363">
      <w:tc>
        <w:tcPr>
          <w:tcW w:w="7031" w:type="dxa"/>
        </w:tcPr>
        <w:p w14:paraId="7965B2F2" w14:textId="77777777" w:rsidR="00C0365B" w:rsidRDefault="00C0365B" w:rsidP="00955F44">
          <w:pPr>
            <w:pStyle w:val="Koptekst"/>
            <w:rPr>
              <w:noProof/>
            </w:rPr>
          </w:pPr>
        </w:p>
      </w:tc>
      <w:tc>
        <w:tcPr>
          <w:tcW w:w="2506" w:type="dxa"/>
        </w:tcPr>
        <w:p w14:paraId="4D8EE25A" w14:textId="77777777" w:rsidR="00C0365B" w:rsidRDefault="00C0365B" w:rsidP="003A1DFC">
          <w:pPr>
            <w:pStyle w:val="Koptekst"/>
          </w:pPr>
        </w:p>
      </w:tc>
    </w:tr>
  </w:tbl>
  <w:p w14:paraId="5E127756" w14:textId="77777777" w:rsidR="00C0365B" w:rsidRDefault="00C0365B" w:rsidP="00955F44">
    <w:pPr>
      <w:pStyle w:val="Koptekst"/>
    </w:pPr>
  </w:p>
  <w:p w14:paraId="0578F649" w14:textId="77777777" w:rsidR="00C0365B" w:rsidRPr="00C21B53" w:rsidRDefault="00C0365B" w:rsidP="00955F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CC0C" w14:textId="77777777" w:rsidR="00C0365B" w:rsidRPr="00702E89" w:rsidRDefault="00C0365B" w:rsidP="00702E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4785916"/>
    <w:lvl w:ilvl="0">
      <w:start w:val="1"/>
      <w:numFmt w:val="bullet"/>
      <w:pStyle w:val="Lijstopsomteken2"/>
      <w:lvlText w:val="-"/>
      <w:lvlJc w:val="left"/>
      <w:pPr>
        <w:tabs>
          <w:tab w:val="num" w:pos="737"/>
        </w:tabs>
        <w:ind w:left="737" w:hanging="368"/>
      </w:pPr>
      <w:rPr>
        <w:rFonts w:ascii="Times New Roman" w:hAnsi="Times New Roman" w:hint="default"/>
        <w:sz w:val="12"/>
      </w:rPr>
    </w:lvl>
  </w:abstractNum>
  <w:abstractNum w:abstractNumId="1" w15:restartNumberingAfterBreak="0">
    <w:nsid w:val="FFFFFF88"/>
    <w:multiLevelType w:val="singleLevel"/>
    <w:tmpl w:val="FB8A6A42"/>
    <w:lvl w:ilvl="0">
      <w:start w:val="1"/>
      <w:numFmt w:val="decimal"/>
      <w:pStyle w:val="Lijstnummering"/>
      <w:lvlText w:val="%1."/>
      <w:lvlJc w:val="left"/>
      <w:pPr>
        <w:tabs>
          <w:tab w:val="num" w:pos="425"/>
        </w:tabs>
        <w:ind w:left="425" w:hanging="425"/>
      </w:pPr>
    </w:lvl>
  </w:abstractNum>
  <w:abstractNum w:abstractNumId="2" w15:restartNumberingAfterBreak="0">
    <w:nsid w:val="FFFFFF89"/>
    <w:multiLevelType w:val="singleLevel"/>
    <w:tmpl w:val="C2A23BE6"/>
    <w:lvl w:ilvl="0">
      <w:start w:val="1"/>
      <w:numFmt w:val="bullet"/>
      <w:pStyle w:val="Lijstopsomteken"/>
      <w:lvlText w:val="-"/>
      <w:lvlJc w:val="left"/>
      <w:pPr>
        <w:tabs>
          <w:tab w:val="num" w:pos="425"/>
        </w:tabs>
        <w:ind w:left="425" w:hanging="425"/>
      </w:pPr>
      <w:rPr>
        <w:rFonts w:ascii="Arial" w:hAnsi="Arial" w:hint="default"/>
        <w:sz w:val="12"/>
      </w:rPr>
    </w:lvl>
  </w:abstractNum>
  <w:abstractNum w:abstractNumId="3" w15:restartNumberingAfterBreak="0">
    <w:nsid w:val="0DB51868"/>
    <w:multiLevelType w:val="hybridMultilevel"/>
    <w:tmpl w:val="1848F644"/>
    <w:lvl w:ilvl="0" w:tplc="02EEBAA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E367C4"/>
    <w:multiLevelType w:val="multilevel"/>
    <w:tmpl w:val="6866B0BC"/>
    <w:lvl w:ilvl="0">
      <w:start w:val="1"/>
      <w:numFmt w:val="decimal"/>
      <w:pStyle w:val="Kop1"/>
      <w:lvlText w:val="%1"/>
      <w:lvlJc w:val="left"/>
      <w:pPr>
        <w:tabs>
          <w:tab w:val="num" w:pos="425"/>
        </w:tabs>
        <w:ind w:left="425" w:hanging="425"/>
      </w:pPr>
    </w:lvl>
    <w:lvl w:ilvl="1">
      <w:start w:val="1"/>
      <w:numFmt w:val="decimal"/>
      <w:pStyle w:val="Kop2"/>
      <w:isLgl/>
      <w:lvlText w:val="%1.%2."/>
      <w:lvlJc w:val="left"/>
      <w:pPr>
        <w:tabs>
          <w:tab w:val="num" w:pos="567"/>
        </w:tabs>
        <w:ind w:left="567" w:hanging="567"/>
      </w:pPr>
    </w:lvl>
    <w:lvl w:ilvl="2">
      <w:start w:val="1"/>
      <w:numFmt w:val="decimal"/>
      <w:pStyle w:val="Kop3"/>
      <w:lvlText w:val="%1.%2.%3"/>
      <w:lvlJc w:val="left"/>
      <w:pPr>
        <w:tabs>
          <w:tab w:val="num" w:pos="709"/>
        </w:tabs>
        <w:ind w:left="709" w:hanging="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256665AB"/>
    <w:multiLevelType w:val="hybridMultilevel"/>
    <w:tmpl w:val="71B47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D35587"/>
    <w:multiLevelType w:val="hybridMultilevel"/>
    <w:tmpl w:val="037AAAEA"/>
    <w:lvl w:ilvl="0" w:tplc="614E72B4">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F46AD8"/>
    <w:multiLevelType w:val="hybridMultilevel"/>
    <w:tmpl w:val="4378A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0891146">
    <w:abstractNumId w:val="1"/>
  </w:num>
  <w:num w:numId="2" w16cid:durableId="2060277838">
    <w:abstractNumId w:val="1"/>
  </w:num>
  <w:num w:numId="3" w16cid:durableId="727414105">
    <w:abstractNumId w:val="1"/>
  </w:num>
  <w:num w:numId="4" w16cid:durableId="615525733">
    <w:abstractNumId w:val="1"/>
  </w:num>
  <w:num w:numId="5" w16cid:durableId="1749812808">
    <w:abstractNumId w:val="1"/>
  </w:num>
  <w:num w:numId="6" w16cid:durableId="1082608476">
    <w:abstractNumId w:val="1"/>
  </w:num>
  <w:num w:numId="7" w16cid:durableId="1412384776">
    <w:abstractNumId w:val="1"/>
  </w:num>
  <w:num w:numId="8" w16cid:durableId="761681920">
    <w:abstractNumId w:val="1"/>
  </w:num>
  <w:num w:numId="9" w16cid:durableId="1701859900">
    <w:abstractNumId w:val="1"/>
  </w:num>
  <w:num w:numId="10" w16cid:durableId="1456102831">
    <w:abstractNumId w:val="1"/>
  </w:num>
  <w:num w:numId="11" w16cid:durableId="1091858384">
    <w:abstractNumId w:val="1"/>
  </w:num>
  <w:num w:numId="12" w16cid:durableId="1863589804">
    <w:abstractNumId w:val="1"/>
  </w:num>
  <w:num w:numId="13" w16cid:durableId="881096025">
    <w:abstractNumId w:val="1"/>
  </w:num>
  <w:num w:numId="14" w16cid:durableId="1826823009">
    <w:abstractNumId w:val="1"/>
  </w:num>
  <w:num w:numId="15" w16cid:durableId="994069616">
    <w:abstractNumId w:val="0"/>
  </w:num>
  <w:num w:numId="16" w16cid:durableId="1155755390">
    <w:abstractNumId w:val="0"/>
  </w:num>
  <w:num w:numId="17" w16cid:durableId="1184369583">
    <w:abstractNumId w:val="2"/>
  </w:num>
  <w:num w:numId="18" w16cid:durableId="187838918">
    <w:abstractNumId w:val="4"/>
  </w:num>
  <w:num w:numId="19" w16cid:durableId="415173236">
    <w:abstractNumId w:val="4"/>
  </w:num>
  <w:num w:numId="20" w16cid:durableId="1044407859">
    <w:abstractNumId w:val="4"/>
  </w:num>
  <w:num w:numId="21" w16cid:durableId="577641190">
    <w:abstractNumId w:val="6"/>
  </w:num>
  <w:num w:numId="22" w16cid:durableId="1898004100">
    <w:abstractNumId w:val="3"/>
  </w:num>
  <w:num w:numId="23" w16cid:durableId="447706251">
    <w:abstractNumId w:val="5"/>
  </w:num>
  <w:num w:numId="24" w16cid:durableId="129321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9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leegdoc"/>
    <w:docVar w:name="Dossiernummer" w:val="_x001f_"/>
    <w:docVar w:name="Logo" w:val="0"/>
    <w:docVar w:name="LogoName" w:val="Tamminga_nl.png"/>
    <w:docVar w:name="LogoPath" w:val="F:\\apps\\Huisstijl\\Instellingen.net\\Logos\\"/>
    <w:docVar w:name="Paginanummering" w:val="0"/>
    <w:docVar w:name="UserOptionsPath" w:val="F:\\apps\\Huisstijl\\Instellingen.net\\"/>
  </w:docVars>
  <w:rsids>
    <w:rsidRoot w:val="000E719E"/>
    <w:rsid w:val="000222D5"/>
    <w:rsid w:val="000352D2"/>
    <w:rsid w:val="0004199B"/>
    <w:rsid w:val="00043B39"/>
    <w:rsid w:val="00045AE3"/>
    <w:rsid w:val="0005183B"/>
    <w:rsid w:val="0005610B"/>
    <w:rsid w:val="00057C1D"/>
    <w:rsid w:val="000618B0"/>
    <w:rsid w:val="00064F45"/>
    <w:rsid w:val="000734AA"/>
    <w:rsid w:val="00073560"/>
    <w:rsid w:val="0007387E"/>
    <w:rsid w:val="00080FCE"/>
    <w:rsid w:val="000A1192"/>
    <w:rsid w:val="000A11BE"/>
    <w:rsid w:val="000B5F80"/>
    <w:rsid w:val="000D0D88"/>
    <w:rsid w:val="000D298F"/>
    <w:rsid w:val="000D2D2B"/>
    <w:rsid w:val="000E0C61"/>
    <w:rsid w:val="000E719E"/>
    <w:rsid w:val="00103298"/>
    <w:rsid w:val="00120E93"/>
    <w:rsid w:val="001268BC"/>
    <w:rsid w:val="00134095"/>
    <w:rsid w:val="001417A2"/>
    <w:rsid w:val="001644EE"/>
    <w:rsid w:val="00170DFD"/>
    <w:rsid w:val="0017642F"/>
    <w:rsid w:val="001974A0"/>
    <w:rsid w:val="001A6297"/>
    <w:rsid w:val="001B15D1"/>
    <w:rsid w:val="001B2204"/>
    <w:rsid w:val="001D43A3"/>
    <w:rsid w:val="001E454B"/>
    <w:rsid w:val="001E4F20"/>
    <w:rsid w:val="00201D05"/>
    <w:rsid w:val="00205E6D"/>
    <w:rsid w:val="0021482D"/>
    <w:rsid w:val="00222683"/>
    <w:rsid w:val="00227413"/>
    <w:rsid w:val="00235CE8"/>
    <w:rsid w:val="0023747E"/>
    <w:rsid w:val="002443FE"/>
    <w:rsid w:val="00252004"/>
    <w:rsid w:val="002623C0"/>
    <w:rsid w:val="0026263E"/>
    <w:rsid w:val="0026405A"/>
    <w:rsid w:val="00264FAE"/>
    <w:rsid w:val="0027058F"/>
    <w:rsid w:val="00272D97"/>
    <w:rsid w:val="002770FA"/>
    <w:rsid w:val="0028020D"/>
    <w:rsid w:val="002835AF"/>
    <w:rsid w:val="00284644"/>
    <w:rsid w:val="0028647E"/>
    <w:rsid w:val="00287F17"/>
    <w:rsid w:val="002A3924"/>
    <w:rsid w:val="002C18F9"/>
    <w:rsid w:val="002D5415"/>
    <w:rsid w:val="002E69BD"/>
    <w:rsid w:val="00310D63"/>
    <w:rsid w:val="003178DF"/>
    <w:rsid w:val="00342341"/>
    <w:rsid w:val="003449BF"/>
    <w:rsid w:val="00347324"/>
    <w:rsid w:val="0035291B"/>
    <w:rsid w:val="00353BF3"/>
    <w:rsid w:val="003549CA"/>
    <w:rsid w:val="003552EC"/>
    <w:rsid w:val="00356C89"/>
    <w:rsid w:val="00383F8B"/>
    <w:rsid w:val="00385A67"/>
    <w:rsid w:val="00390B30"/>
    <w:rsid w:val="00392822"/>
    <w:rsid w:val="003A1DFC"/>
    <w:rsid w:val="003A4888"/>
    <w:rsid w:val="003B42C2"/>
    <w:rsid w:val="003D2473"/>
    <w:rsid w:val="003D7F28"/>
    <w:rsid w:val="003E0000"/>
    <w:rsid w:val="003F2DA0"/>
    <w:rsid w:val="003F4425"/>
    <w:rsid w:val="00405C2A"/>
    <w:rsid w:val="00412CF9"/>
    <w:rsid w:val="0043363B"/>
    <w:rsid w:val="00445114"/>
    <w:rsid w:val="0044780C"/>
    <w:rsid w:val="004573D9"/>
    <w:rsid w:val="0045748F"/>
    <w:rsid w:val="00471661"/>
    <w:rsid w:val="00475E76"/>
    <w:rsid w:val="0048230A"/>
    <w:rsid w:val="00482C6B"/>
    <w:rsid w:val="00490ABE"/>
    <w:rsid w:val="004910A5"/>
    <w:rsid w:val="004A0477"/>
    <w:rsid w:val="004A0705"/>
    <w:rsid w:val="004A57AB"/>
    <w:rsid w:val="004A59EB"/>
    <w:rsid w:val="004B31B5"/>
    <w:rsid w:val="004B79C2"/>
    <w:rsid w:val="004C262E"/>
    <w:rsid w:val="004C6688"/>
    <w:rsid w:val="004E1874"/>
    <w:rsid w:val="004F5539"/>
    <w:rsid w:val="004F55CA"/>
    <w:rsid w:val="00501A3E"/>
    <w:rsid w:val="005033FE"/>
    <w:rsid w:val="0051354F"/>
    <w:rsid w:val="005146AF"/>
    <w:rsid w:val="00516806"/>
    <w:rsid w:val="00516DD9"/>
    <w:rsid w:val="005268D0"/>
    <w:rsid w:val="00531B66"/>
    <w:rsid w:val="005334B0"/>
    <w:rsid w:val="005412F3"/>
    <w:rsid w:val="00542A64"/>
    <w:rsid w:val="0054639E"/>
    <w:rsid w:val="00551323"/>
    <w:rsid w:val="00553330"/>
    <w:rsid w:val="005605FF"/>
    <w:rsid w:val="00564706"/>
    <w:rsid w:val="00575497"/>
    <w:rsid w:val="00583EA4"/>
    <w:rsid w:val="00584178"/>
    <w:rsid w:val="00584722"/>
    <w:rsid w:val="005A1F64"/>
    <w:rsid w:val="005B3BE0"/>
    <w:rsid w:val="005C046E"/>
    <w:rsid w:val="005C6466"/>
    <w:rsid w:val="005D4306"/>
    <w:rsid w:val="005D641A"/>
    <w:rsid w:val="00605B73"/>
    <w:rsid w:val="00610C63"/>
    <w:rsid w:val="0062430B"/>
    <w:rsid w:val="0062489B"/>
    <w:rsid w:val="00635143"/>
    <w:rsid w:val="0063590C"/>
    <w:rsid w:val="00642DF9"/>
    <w:rsid w:val="006439C1"/>
    <w:rsid w:val="00646506"/>
    <w:rsid w:val="00656BC4"/>
    <w:rsid w:val="00664A85"/>
    <w:rsid w:val="0067005A"/>
    <w:rsid w:val="00681DF1"/>
    <w:rsid w:val="00683CEF"/>
    <w:rsid w:val="006A022B"/>
    <w:rsid w:val="006A76DF"/>
    <w:rsid w:val="006B5544"/>
    <w:rsid w:val="006B6EA5"/>
    <w:rsid w:val="006D149B"/>
    <w:rsid w:val="006F327C"/>
    <w:rsid w:val="00702E89"/>
    <w:rsid w:val="00706529"/>
    <w:rsid w:val="00723DEF"/>
    <w:rsid w:val="00724510"/>
    <w:rsid w:val="00776C58"/>
    <w:rsid w:val="0079365C"/>
    <w:rsid w:val="00796B08"/>
    <w:rsid w:val="007B13F9"/>
    <w:rsid w:val="007C247B"/>
    <w:rsid w:val="007D30A1"/>
    <w:rsid w:val="007E5FCB"/>
    <w:rsid w:val="007F46EE"/>
    <w:rsid w:val="00801114"/>
    <w:rsid w:val="00823ACA"/>
    <w:rsid w:val="00824723"/>
    <w:rsid w:val="00830AF8"/>
    <w:rsid w:val="0084047F"/>
    <w:rsid w:val="00844A28"/>
    <w:rsid w:val="00870137"/>
    <w:rsid w:val="00871797"/>
    <w:rsid w:val="00871B5E"/>
    <w:rsid w:val="00872D56"/>
    <w:rsid w:val="00897082"/>
    <w:rsid w:val="008A1E1E"/>
    <w:rsid w:val="008A727D"/>
    <w:rsid w:val="008B0F7F"/>
    <w:rsid w:val="008B4802"/>
    <w:rsid w:val="008B76CD"/>
    <w:rsid w:val="008C0451"/>
    <w:rsid w:val="008C55D7"/>
    <w:rsid w:val="008D5B6C"/>
    <w:rsid w:val="008E3EC7"/>
    <w:rsid w:val="008E3ECD"/>
    <w:rsid w:val="008E70BD"/>
    <w:rsid w:val="008E7AC3"/>
    <w:rsid w:val="008F123E"/>
    <w:rsid w:val="00903C61"/>
    <w:rsid w:val="00910BAD"/>
    <w:rsid w:val="00913146"/>
    <w:rsid w:val="00916E4B"/>
    <w:rsid w:val="0092035E"/>
    <w:rsid w:val="009213EB"/>
    <w:rsid w:val="00926696"/>
    <w:rsid w:val="00937367"/>
    <w:rsid w:val="00943ED9"/>
    <w:rsid w:val="00954785"/>
    <w:rsid w:val="00955F44"/>
    <w:rsid w:val="0096483C"/>
    <w:rsid w:val="00975094"/>
    <w:rsid w:val="009848A7"/>
    <w:rsid w:val="009A325F"/>
    <w:rsid w:val="009C6440"/>
    <w:rsid w:val="009D7DF1"/>
    <w:rsid w:val="009E049F"/>
    <w:rsid w:val="009E16BD"/>
    <w:rsid w:val="009E1E1A"/>
    <w:rsid w:val="009F59A6"/>
    <w:rsid w:val="00A006AE"/>
    <w:rsid w:val="00A0079A"/>
    <w:rsid w:val="00A009C3"/>
    <w:rsid w:val="00A1223D"/>
    <w:rsid w:val="00A21363"/>
    <w:rsid w:val="00A21D0C"/>
    <w:rsid w:val="00A255C1"/>
    <w:rsid w:val="00A27E93"/>
    <w:rsid w:val="00A41846"/>
    <w:rsid w:val="00A41B19"/>
    <w:rsid w:val="00A43C7C"/>
    <w:rsid w:val="00A635AA"/>
    <w:rsid w:val="00A656A4"/>
    <w:rsid w:val="00A72221"/>
    <w:rsid w:val="00A7379A"/>
    <w:rsid w:val="00A8404A"/>
    <w:rsid w:val="00A94ABE"/>
    <w:rsid w:val="00A97CB5"/>
    <w:rsid w:val="00AA0F66"/>
    <w:rsid w:val="00AA1099"/>
    <w:rsid w:val="00AA77B2"/>
    <w:rsid w:val="00AB60B1"/>
    <w:rsid w:val="00AC37DA"/>
    <w:rsid w:val="00AD300D"/>
    <w:rsid w:val="00AE264F"/>
    <w:rsid w:val="00AF3788"/>
    <w:rsid w:val="00AF4269"/>
    <w:rsid w:val="00B0527D"/>
    <w:rsid w:val="00B054B4"/>
    <w:rsid w:val="00B05A66"/>
    <w:rsid w:val="00B24195"/>
    <w:rsid w:val="00B36B2B"/>
    <w:rsid w:val="00B37FAA"/>
    <w:rsid w:val="00B52E5D"/>
    <w:rsid w:val="00B5548F"/>
    <w:rsid w:val="00B63131"/>
    <w:rsid w:val="00B70458"/>
    <w:rsid w:val="00B81CBB"/>
    <w:rsid w:val="00B823B1"/>
    <w:rsid w:val="00B91129"/>
    <w:rsid w:val="00BA09F2"/>
    <w:rsid w:val="00BA0E59"/>
    <w:rsid w:val="00BB367D"/>
    <w:rsid w:val="00BE036A"/>
    <w:rsid w:val="00BE5A20"/>
    <w:rsid w:val="00BF0073"/>
    <w:rsid w:val="00BF4BF5"/>
    <w:rsid w:val="00C033BE"/>
    <w:rsid w:val="00C0365B"/>
    <w:rsid w:val="00C2101B"/>
    <w:rsid w:val="00C21B53"/>
    <w:rsid w:val="00C27E0D"/>
    <w:rsid w:val="00C33FDF"/>
    <w:rsid w:val="00C41232"/>
    <w:rsid w:val="00C43629"/>
    <w:rsid w:val="00C44E1B"/>
    <w:rsid w:val="00C45F3B"/>
    <w:rsid w:val="00C5385E"/>
    <w:rsid w:val="00C53D84"/>
    <w:rsid w:val="00C57AA9"/>
    <w:rsid w:val="00C677B4"/>
    <w:rsid w:val="00C76588"/>
    <w:rsid w:val="00C859E9"/>
    <w:rsid w:val="00C904DB"/>
    <w:rsid w:val="00C904E8"/>
    <w:rsid w:val="00C93AC6"/>
    <w:rsid w:val="00C963E9"/>
    <w:rsid w:val="00CA2BEA"/>
    <w:rsid w:val="00CA484E"/>
    <w:rsid w:val="00CB10E2"/>
    <w:rsid w:val="00CC416D"/>
    <w:rsid w:val="00CD163E"/>
    <w:rsid w:val="00CD7B66"/>
    <w:rsid w:val="00CE1939"/>
    <w:rsid w:val="00CE1E85"/>
    <w:rsid w:val="00CE43F9"/>
    <w:rsid w:val="00CF3A58"/>
    <w:rsid w:val="00D00E51"/>
    <w:rsid w:val="00D018FE"/>
    <w:rsid w:val="00D03CF0"/>
    <w:rsid w:val="00D2610C"/>
    <w:rsid w:val="00D40B70"/>
    <w:rsid w:val="00D45DEC"/>
    <w:rsid w:val="00D554A9"/>
    <w:rsid w:val="00D555EE"/>
    <w:rsid w:val="00D62B83"/>
    <w:rsid w:val="00D655F2"/>
    <w:rsid w:val="00D71F6B"/>
    <w:rsid w:val="00D7429D"/>
    <w:rsid w:val="00D80971"/>
    <w:rsid w:val="00D9173A"/>
    <w:rsid w:val="00D93FE7"/>
    <w:rsid w:val="00D94663"/>
    <w:rsid w:val="00DA0BC6"/>
    <w:rsid w:val="00DA1A47"/>
    <w:rsid w:val="00DB13B6"/>
    <w:rsid w:val="00DC4C60"/>
    <w:rsid w:val="00DC77FE"/>
    <w:rsid w:val="00DC7EFD"/>
    <w:rsid w:val="00DD294D"/>
    <w:rsid w:val="00DF518B"/>
    <w:rsid w:val="00E039D5"/>
    <w:rsid w:val="00E044F6"/>
    <w:rsid w:val="00E12E3B"/>
    <w:rsid w:val="00E27B5A"/>
    <w:rsid w:val="00E30D0B"/>
    <w:rsid w:val="00E35D36"/>
    <w:rsid w:val="00E372A0"/>
    <w:rsid w:val="00E379B1"/>
    <w:rsid w:val="00E40FF5"/>
    <w:rsid w:val="00E45A83"/>
    <w:rsid w:val="00E46F35"/>
    <w:rsid w:val="00E571E9"/>
    <w:rsid w:val="00E61D20"/>
    <w:rsid w:val="00E813BA"/>
    <w:rsid w:val="00E86B75"/>
    <w:rsid w:val="00E87F7B"/>
    <w:rsid w:val="00E92E25"/>
    <w:rsid w:val="00EA139C"/>
    <w:rsid w:val="00EB23D0"/>
    <w:rsid w:val="00EC0389"/>
    <w:rsid w:val="00EC3290"/>
    <w:rsid w:val="00EC3593"/>
    <w:rsid w:val="00ED0B2A"/>
    <w:rsid w:val="00ED6C93"/>
    <w:rsid w:val="00EE0545"/>
    <w:rsid w:val="00EE0EEB"/>
    <w:rsid w:val="00EF5937"/>
    <w:rsid w:val="00F04D06"/>
    <w:rsid w:val="00F07930"/>
    <w:rsid w:val="00F27504"/>
    <w:rsid w:val="00F51E70"/>
    <w:rsid w:val="00F53EF8"/>
    <w:rsid w:val="00F70D9E"/>
    <w:rsid w:val="00F74E2A"/>
    <w:rsid w:val="00F85220"/>
    <w:rsid w:val="00F8524F"/>
    <w:rsid w:val="00F958C5"/>
    <w:rsid w:val="00FA22E3"/>
    <w:rsid w:val="00FA6CF8"/>
    <w:rsid w:val="00FB7FB6"/>
    <w:rsid w:val="00FC2D1A"/>
    <w:rsid w:val="00FD182F"/>
    <w:rsid w:val="00FD32DF"/>
    <w:rsid w:val="00FE3F0C"/>
    <w:rsid w:val="00FE63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9B835"/>
  <w15:docId w15:val="{1E0E0334-2C57-4F78-ABA4-E2020DD4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3B39"/>
    <w:pPr>
      <w:spacing w:line="280" w:lineRule="atLeast"/>
    </w:pPr>
    <w:rPr>
      <w:sz w:val="24"/>
    </w:rPr>
  </w:style>
  <w:style w:type="paragraph" w:styleId="Kop1">
    <w:name w:val="heading 1"/>
    <w:basedOn w:val="Standaard"/>
    <w:next w:val="Plattetekst"/>
    <w:qFormat/>
    <w:rsid w:val="00DA0BC6"/>
    <w:pPr>
      <w:keepNext/>
      <w:pageBreakBefore/>
      <w:numPr>
        <w:numId w:val="18"/>
      </w:numPr>
      <w:spacing w:before="240" w:after="60"/>
      <w:outlineLvl w:val="0"/>
    </w:pPr>
    <w:rPr>
      <w:b/>
      <w:smallCaps/>
      <w:kern w:val="28"/>
      <w:sz w:val="22"/>
    </w:rPr>
  </w:style>
  <w:style w:type="paragraph" w:styleId="Kop2">
    <w:name w:val="heading 2"/>
    <w:basedOn w:val="Standaard"/>
    <w:next w:val="Plattetekst"/>
    <w:qFormat/>
    <w:rsid w:val="00DA0BC6"/>
    <w:pPr>
      <w:keepNext/>
      <w:numPr>
        <w:ilvl w:val="1"/>
        <w:numId w:val="19"/>
      </w:numPr>
      <w:spacing w:before="240" w:after="60"/>
      <w:outlineLvl w:val="1"/>
    </w:pPr>
    <w:rPr>
      <w:b/>
    </w:rPr>
  </w:style>
  <w:style w:type="paragraph" w:styleId="Kop3">
    <w:name w:val="heading 3"/>
    <w:basedOn w:val="Standaard"/>
    <w:next w:val="Plattetekst"/>
    <w:qFormat/>
    <w:rsid w:val="00DA0BC6"/>
    <w:pPr>
      <w:keepNext/>
      <w:numPr>
        <w:ilvl w:val="2"/>
        <w:numId w:val="20"/>
      </w:numPr>
      <w:spacing w:before="180"/>
      <w:outlineLvl w:val="2"/>
    </w:pPr>
    <w:rPr>
      <w:i/>
    </w:rPr>
  </w:style>
  <w:style w:type="paragraph" w:styleId="Kop4">
    <w:name w:val="heading 4"/>
    <w:basedOn w:val="Standaard"/>
    <w:next w:val="Plattetekst"/>
    <w:qFormat/>
    <w:rsid w:val="00DA0BC6"/>
    <w:pPr>
      <w:keepNext/>
      <w:spacing w:before="120"/>
      <w:outlineLvl w:val="3"/>
    </w:pPr>
    <w:rPr>
      <w:i/>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A0BC6"/>
    <w:pPr>
      <w:spacing w:before="120"/>
    </w:pPr>
  </w:style>
  <w:style w:type="paragraph" w:styleId="Lijstnummering">
    <w:name w:val="List Number"/>
    <w:basedOn w:val="Standaard"/>
    <w:rsid w:val="00405C2A"/>
    <w:pPr>
      <w:keepNext/>
      <w:numPr>
        <w:numId w:val="14"/>
      </w:numPr>
    </w:pPr>
  </w:style>
  <w:style w:type="paragraph" w:styleId="Voettekst">
    <w:name w:val="footer"/>
    <w:basedOn w:val="Standaard"/>
    <w:link w:val="VoettekstChar"/>
    <w:uiPriority w:val="99"/>
    <w:rsid w:val="00870137"/>
    <w:pPr>
      <w:tabs>
        <w:tab w:val="center" w:pos="4395"/>
        <w:tab w:val="right" w:pos="8789"/>
      </w:tabs>
      <w:spacing w:line="240" w:lineRule="auto"/>
    </w:pPr>
    <w:rPr>
      <w:rFonts w:ascii="Univers" w:hAnsi="Univers"/>
      <w:sz w:val="16"/>
    </w:rPr>
  </w:style>
  <w:style w:type="paragraph" w:styleId="Lijstopsomteken2">
    <w:name w:val="List Bullet 2"/>
    <w:basedOn w:val="Standaard"/>
    <w:rsid w:val="00DA0BC6"/>
    <w:pPr>
      <w:numPr>
        <w:numId w:val="16"/>
      </w:numPr>
    </w:pPr>
  </w:style>
  <w:style w:type="paragraph" w:styleId="Inhopg1">
    <w:name w:val="toc 1"/>
    <w:basedOn w:val="Standaard"/>
    <w:next w:val="Standaard"/>
    <w:semiHidden/>
    <w:rsid w:val="00DA0BC6"/>
    <w:pPr>
      <w:tabs>
        <w:tab w:val="right" w:leader="dot" w:pos="8789"/>
      </w:tabs>
      <w:spacing w:before="120"/>
      <w:ind w:left="425" w:hanging="425"/>
    </w:pPr>
    <w:rPr>
      <w:smallCaps/>
    </w:rPr>
  </w:style>
  <w:style w:type="paragraph" w:styleId="Lijstopsomteken">
    <w:name w:val="List Bullet"/>
    <w:basedOn w:val="Standaard"/>
    <w:rsid w:val="00D00E51"/>
    <w:pPr>
      <w:numPr>
        <w:numId w:val="17"/>
      </w:numPr>
    </w:pPr>
  </w:style>
  <w:style w:type="paragraph" w:styleId="Inhopg2">
    <w:name w:val="toc 2"/>
    <w:basedOn w:val="Standaard"/>
    <w:next w:val="Standaard"/>
    <w:semiHidden/>
    <w:rsid w:val="00DA0BC6"/>
    <w:pPr>
      <w:tabs>
        <w:tab w:val="left" w:pos="992"/>
        <w:tab w:val="right" w:leader="dot" w:pos="8789"/>
      </w:tabs>
      <w:ind w:left="992" w:hanging="567"/>
    </w:pPr>
  </w:style>
  <w:style w:type="paragraph" w:styleId="Inhopg3">
    <w:name w:val="toc 3"/>
    <w:basedOn w:val="Standaard"/>
    <w:next w:val="Standaard"/>
    <w:semiHidden/>
    <w:rsid w:val="00DA0BC6"/>
    <w:pPr>
      <w:tabs>
        <w:tab w:val="left" w:pos="1701"/>
        <w:tab w:val="right" w:leader="dot" w:pos="8789"/>
      </w:tabs>
      <w:ind w:left="1701" w:hanging="709"/>
    </w:pPr>
  </w:style>
  <w:style w:type="paragraph" w:styleId="Inhopg4">
    <w:name w:val="toc 4"/>
    <w:basedOn w:val="Standaard"/>
    <w:next w:val="Standaard"/>
    <w:autoRedefine/>
    <w:semiHidden/>
    <w:rsid w:val="00DA0BC6"/>
    <w:pPr>
      <w:ind w:left="570"/>
    </w:pPr>
  </w:style>
  <w:style w:type="paragraph" w:styleId="Koptekst">
    <w:name w:val="header"/>
    <w:basedOn w:val="Standaard"/>
    <w:link w:val="KoptekstChar"/>
    <w:unhideWhenUsed/>
    <w:rsid w:val="00870137"/>
    <w:pPr>
      <w:tabs>
        <w:tab w:val="center" w:pos="4536"/>
        <w:tab w:val="right" w:pos="9072"/>
      </w:tabs>
      <w:spacing w:line="240" w:lineRule="auto"/>
    </w:pPr>
    <w:rPr>
      <w:rFonts w:ascii="Univers" w:hAnsi="Univers"/>
      <w:sz w:val="16"/>
    </w:rPr>
  </w:style>
  <w:style w:type="character" w:customStyle="1" w:styleId="KoptekstChar">
    <w:name w:val="Koptekst Char"/>
    <w:basedOn w:val="Standaardalinea-lettertype"/>
    <w:link w:val="Koptekst"/>
    <w:rsid w:val="00870137"/>
    <w:rPr>
      <w:rFonts w:ascii="Univers" w:hAnsi="Univers"/>
      <w:sz w:val="16"/>
    </w:rPr>
  </w:style>
  <w:style w:type="character" w:customStyle="1" w:styleId="VoettekstChar">
    <w:name w:val="Voettekst Char"/>
    <w:basedOn w:val="Standaardalinea-lettertype"/>
    <w:link w:val="Voettekst"/>
    <w:uiPriority w:val="99"/>
    <w:rsid w:val="00870137"/>
    <w:rPr>
      <w:rFonts w:ascii="Univers" w:hAnsi="Univers"/>
      <w:sz w:val="16"/>
    </w:rPr>
  </w:style>
  <w:style w:type="paragraph" w:styleId="Ballontekst">
    <w:name w:val="Balloon Text"/>
    <w:basedOn w:val="Standaard"/>
    <w:link w:val="BallontekstChar"/>
    <w:uiPriority w:val="99"/>
    <w:semiHidden/>
    <w:unhideWhenUsed/>
    <w:rsid w:val="00DB13B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B13B6"/>
    <w:rPr>
      <w:rFonts w:ascii="Tahoma" w:hAnsi="Tahoma" w:cs="Tahoma"/>
      <w:spacing w:val="6"/>
      <w:w w:val="90"/>
      <w:sz w:val="16"/>
      <w:szCs w:val="16"/>
    </w:rPr>
  </w:style>
  <w:style w:type="table" w:styleId="Tabelraster">
    <w:name w:val="Table Grid"/>
    <w:basedOn w:val="Standaardtabel"/>
    <w:uiPriority w:val="59"/>
    <w:rsid w:val="00EB23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nhideWhenUsed/>
    <w:rsid w:val="007C247B"/>
    <w:rPr>
      <w:color w:val="0000FF" w:themeColor="hyperlink"/>
      <w:u w:val="single"/>
    </w:rPr>
  </w:style>
  <w:style w:type="character" w:styleId="GevolgdeHyperlink">
    <w:name w:val="FollowedHyperlink"/>
    <w:basedOn w:val="Standaardalinea-lettertype"/>
    <w:uiPriority w:val="99"/>
    <w:semiHidden/>
    <w:unhideWhenUsed/>
    <w:rsid w:val="00553330"/>
    <w:rPr>
      <w:color w:val="800080" w:themeColor="followedHyperlink"/>
      <w:u w:val="single"/>
    </w:rPr>
  </w:style>
  <w:style w:type="character" w:styleId="Onopgelostemelding">
    <w:name w:val="Unresolved Mention"/>
    <w:basedOn w:val="Standaardalinea-lettertype"/>
    <w:uiPriority w:val="99"/>
    <w:semiHidden/>
    <w:unhideWhenUsed/>
    <w:rsid w:val="00C0365B"/>
    <w:rPr>
      <w:color w:val="605E5C"/>
      <w:shd w:val="clear" w:color="auto" w:fill="E1DFDD"/>
    </w:rPr>
  </w:style>
  <w:style w:type="paragraph" w:styleId="Revisie">
    <w:name w:val="Revision"/>
    <w:hidden/>
    <w:uiPriority w:val="99"/>
    <w:semiHidden/>
    <w:rsid w:val="00E044F6"/>
    <w:rPr>
      <w:sz w:val="24"/>
    </w:rPr>
  </w:style>
  <w:style w:type="character" w:styleId="Verwijzingopmerking">
    <w:name w:val="annotation reference"/>
    <w:basedOn w:val="Standaardalinea-lettertype"/>
    <w:uiPriority w:val="99"/>
    <w:semiHidden/>
    <w:unhideWhenUsed/>
    <w:rsid w:val="00A43C7C"/>
    <w:rPr>
      <w:sz w:val="16"/>
      <w:szCs w:val="16"/>
    </w:rPr>
  </w:style>
  <w:style w:type="paragraph" w:styleId="Tekstopmerking">
    <w:name w:val="annotation text"/>
    <w:basedOn w:val="Standaard"/>
    <w:link w:val="TekstopmerkingChar"/>
    <w:uiPriority w:val="99"/>
    <w:semiHidden/>
    <w:unhideWhenUsed/>
    <w:rsid w:val="00A43C7C"/>
    <w:pPr>
      <w:spacing w:line="240" w:lineRule="auto"/>
    </w:pPr>
    <w:rPr>
      <w:sz w:val="20"/>
    </w:rPr>
  </w:style>
  <w:style w:type="character" w:customStyle="1" w:styleId="TekstopmerkingChar">
    <w:name w:val="Tekst opmerking Char"/>
    <w:basedOn w:val="Standaardalinea-lettertype"/>
    <w:link w:val="Tekstopmerking"/>
    <w:uiPriority w:val="99"/>
    <w:semiHidden/>
    <w:rsid w:val="00A43C7C"/>
  </w:style>
  <w:style w:type="paragraph" w:styleId="Onderwerpvanopmerking">
    <w:name w:val="annotation subject"/>
    <w:basedOn w:val="Tekstopmerking"/>
    <w:next w:val="Tekstopmerking"/>
    <w:link w:val="OnderwerpvanopmerkingChar"/>
    <w:uiPriority w:val="99"/>
    <w:semiHidden/>
    <w:unhideWhenUsed/>
    <w:rsid w:val="00A43C7C"/>
    <w:rPr>
      <w:b/>
      <w:bCs/>
    </w:rPr>
  </w:style>
  <w:style w:type="character" w:customStyle="1" w:styleId="OnderwerpvanopmerkingChar">
    <w:name w:val="Onderwerp van opmerking Char"/>
    <w:basedOn w:val="TekstopmerkingChar"/>
    <w:link w:val="Onderwerpvanopmerking"/>
    <w:uiPriority w:val="99"/>
    <w:semiHidden/>
    <w:rsid w:val="00A43C7C"/>
    <w:rPr>
      <w:b/>
      <w:bCs/>
    </w:rPr>
  </w:style>
  <w:style w:type="paragraph" w:styleId="Lijstalinea">
    <w:name w:val="List Paragraph"/>
    <w:basedOn w:val="Standaard"/>
    <w:uiPriority w:val="34"/>
    <w:qFormat/>
    <w:rsid w:val="00057C1D"/>
    <w:pPr>
      <w:ind w:left="720"/>
      <w:contextualSpacing/>
    </w:pPr>
  </w:style>
  <w:style w:type="paragraph" w:styleId="Voetnoottekst">
    <w:name w:val="footnote text"/>
    <w:basedOn w:val="Standaard"/>
    <w:link w:val="VoetnoottekstChar"/>
    <w:uiPriority w:val="99"/>
    <w:semiHidden/>
    <w:unhideWhenUsed/>
    <w:rsid w:val="00C43629"/>
    <w:pPr>
      <w:spacing w:line="240" w:lineRule="auto"/>
    </w:pPr>
    <w:rPr>
      <w:sz w:val="20"/>
    </w:rPr>
  </w:style>
  <w:style w:type="character" w:customStyle="1" w:styleId="VoetnoottekstChar">
    <w:name w:val="Voetnoottekst Char"/>
    <w:basedOn w:val="Standaardalinea-lettertype"/>
    <w:link w:val="Voetnoottekst"/>
    <w:uiPriority w:val="99"/>
    <w:semiHidden/>
    <w:rsid w:val="00C43629"/>
  </w:style>
  <w:style w:type="character" w:styleId="Voetnootmarkering">
    <w:name w:val="footnote reference"/>
    <w:basedOn w:val="Standaardalinea-lettertype"/>
    <w:uiPriority w:val="99"/>
    <w:semiHidden/>
    <w:unhideWhenUsed/>
    <w:rsid w:val="00C43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91310">
      <w:bodyDiv w:val="1"/>
      <w:marLeft w:val="0"/>
      <w:marRight w:val="0"/>
      <w:marTop w:val="0"/>
      <w:marBottom w:val="0"/>
      <w:divBdr>
        <w:top w:val="none" w:sz="0" w:space="0" w:color="auto"/>
        <w:left w:val="none" w:sz="0" w:space="0" w:color="auto"/>
        <w:bottom w:val="none" w:sz="0" w:space="0" w:color="auto"/>
        <w:right w:val="none" w:sz="0" w:space="0" w:color="auto"/>
      </w:divBdr>
    </w:div>
    <w:div w:id="17777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wodc.nl/bitstream/handle/20.500.12832/3352/Cahier-2024-1-volledige-tekst.pdf?sequence=1&amp;isAllowed=y" TargetMode="External"/><Relationship Id="rId13" Type="http://schemas.openxmlformats.org/officeDocument/2006/relationships/image" Target="media/image4.png"/><Relationship Id="rId18" Type="http://schemas.openxmlformats.org/officeDocument/2006/relationships/hyperlink" Target="https://www.fiu-nederland.n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pen.overheid.nl/documenten/9786a1e9-aafb-4060-b96d-c0c30ace878d/fil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bureauft.nl/media/q5xjsia5/bft-29102019-schema-notariele-onderzoeks-en-meldplicht-geldverkee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boregistertrusts.nl/documenten/2025/4/23/handleiding-registreren_ubo-register-trusts_v2.0" TargetMode="External"/><Relationship Id="rId20" Type="http://schemas.openxmlformats.org/officeDocument/2006/relationships/hyperlink" Target="https://www.knb.nl/notariaat-magazine/2022-03/vragen-staat-vrij-sanctiemaatregel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wodc.nl/bitstream/handle/20.500.12832/3353/Cahier-2024-2-volledige-tekst.pdf?sequence=1&amp;isAllowed=y"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roduction-site-nl.kvk.bloomreach.cloud/binaries/content/assets/kvkwebsite-nl/categorie/wijzigen/handleiding-nau-1.9-wr-1.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s://www.bureauft.nl/media/354hm1eo/specifieke-leidraad-letter-d-en-letter-e.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odellen.praktijkgenerator.nl/" TargetMode="External"/><Relationship Id="rId22" Type="http://schemas.openxmlformats.org/officeDocument/2006/relationships/hyperlink" Target="https://notarisnet.notaris.nl/wwf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4B6F-FEB4-442F-A6BC-21909DCC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8453</Words>
  <Characters>48183</Characters>
  <Application>Microsoft Office Word</Application>
  <DocSecurity>0</DocSecurity>
  <Lines>983</Lines>
  <Paragraphs>425</Paragraphs>
  <ScaleCrop>false</ScaleCrop>
  <HeadingPairs>
    <vt:vector size="2" baseType="variant">
      <vt:variant>
        <vt:lpstr>Titel</vt:lpstr>
      </vt:variant>
      <vt:variant>
        <vt:i4>1</vt:i4>
      </vt:variant>
    </vt:vector>
  </HeadingPairs>
  <TitlesOfParts>
    <vt:vector size="1" baseType="lpstr">
      <vt:lpstr/>
    </vt:vector>
  </TitlesOfParts>
  <Company>RO-iT</Company>
  <LinksUpToDate>false</LinksUpToDate>
  <CharactersWithSpaces>56211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de Lange</dc:creator>
  <cp:lastModifiedBy>Joyce Blom</cp:lastModifiedBy>
  <cp:revision>2</cp:revision>
  <dcterms:created xsi:type="dcterms:W3CDTF">2025-11-14T08:04:00Z</dcterms:created>
  <dcterms:modified xsi:type="dcterms:W3CDTF">2025-11-14T08:04:00Z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Path">
    <vt:lpwstr>F:\\apps\\Huisstijl\\Instellingen.net\\Logos\\</vt:lpwstr>
  </property>
  <property fmtid="{D5CDD505-2E9C-101B-9397-08002B2CF9AE}" pid="3" name="UserOptionsPath">
    <vt:lpwstr>F:\\apps\\Huisstijl\\Instellingen.net\\</vt:lpwstr>
  </property>
  <property fmtid="{D5CDD505-2E9C-101B-9397-08002B2CF9AE}" pid="4" name="LogoName">
    <vt:lpwstr>Tamminga_nl.png</vt:lpwstr>
  </property>
</Properties>
</file>